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4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446"/>
        <w:jc w:val="both"/>
        <w:rPr>
          <w:rFonts w:hint="eastAsia" w:ascii="Arial" w:hAnsi="Arial" w:eastAsia="宋体" w:cs="Times New Roman"/>
          <w:b/>
          <w:bCs/>
          <w:sz w:val="36"/>
          <w:szCs w:val="36"/>
          <w:lang w:eastAsia="zh-CN"/>
        </w:rPr>
      </w:pPr>
      <w:r>
        <w:rPr>
          <w:rFonts w:hint="eastAsia" w:ascii="Arial" w:hAnsi="Arial" w:eastAsia="宋体" w:cs="Times New Roman"/>
          <w:b/>
          <w:bCs/>
          <w:sz w:val="36"/>
          <w:szCs w:val="36"/>
          <w:lang w:eastAsia="zh-CN"/>
        </w:rPr>
      </w:r>
      <w:r/>
    </w:p>
    <w:p>
      <w:pPr>
        <w:pStyle w:val="1040"/>
        <w:ind w:firstLine="0"/>
        <w:jc w:val="center"/>
        <w:rPr>
          <w:rFonts w:eastAsia="黑体"/>
          <w:b/>
          <w:bCs/>
          <w:color w:val="auto"/>
          <w:sz w:val="52"/>
          <w:szCs w:val="52"/>
          <w:highlight w:val="none"/>
        </w:rPr>
      </w:pPr>
      <w:r>
        <w:rPr>
          <w:rFonts w:hint="eastAsia" w:eastAsia="黑体"/>
          <w:b/>
          <w:bCs/>
          <w:color w:val="auto"/>
          <w:sz w:val="52"/>
          <w:szCs w:val="52"/>
          <w:highlight w:val="none"/>
        </w:rPr>
        <w:t xml:space="preserve">（服务类）</w:t>
      </w:r>
      <w:r/>
    </w:p>
    <w:p>
      <w:pPr>
        <w:jc w:val="center"/>
        <w:rPr>
          <w:b/>
          <w:color w:val="auto"/>
          <w:sz w:val="30"/>
          <w:szCs w:val="30"/>
          <w:highlight w:val="none"/>
        </w:rPr>
      </w:pPr>
      <w:r>
        <w:rPr>
          <w:rFonts w:hint="eastAsia" w:ascii="Arial" w:hAnsi="Arial"/>
          <w:b/>
          <w:bCs/>
          <w:color w:val="auto"/>
          <w:sz w:val="32"/>
          <w:szCs w:val="24"/>
          <w:highlight w:val="none"/>
        </w:rPr>
        <w:t xml:space="preserve">（</w:t>
      </w:r>
      <w:r>
        <w:rPr>
          <w:rFonts w:hint="eastAsia"/>
          <w:b/>
          <w:color w:val="auto"/>
          <w:sz w:val="30"/>
          <w:szCs w:val="30"/>
          <w:highlight w:val="none"/>
        </w:rPr>
        <w:t xml:space="preserve">专门面向中小企业）</w:t>
      </w:r>
      <w:r/>
    </w:p>
    <w:p>
      <w:pPr>
        <w:ind w:firstLine="1446"/>
        <w:jc w:val="both"/>
        <w:rPr>
          <w:rFonts w:hint="eastAsia" w:ascii="Arial" w:hAnsi="Arial" w:eastAsia="宋体" w:cs="Times New Roman"/>
          <w:b/>
          <w:bCs/>
          <w:sz w:val="36"/>
          <w:szCs w:val="36"/>
          <w:lang w:eastAsia="zh-CN"/>
        </w:rPr>
      </w:pPr>
      <w:r>
        <w:rPr>
          <w:rFonts w:hint="eastAsia" w:ascii="Arial" w:hAnsi="Arial" w:eastAsia="宋体" w:cs="Times New Roman"/>
          <w:b/>
          <w:bCs/>
          <w:sz w:val="36"/>
          <w:szCs w:val="36"/>
          <w:lang w:eastAsia="zh-CN"/>
        </w:rPr>
      </w:r>
      <w:r/>
    </w:p>
    <w:p>
      <w:pPr>
        <w:ind w:firstLine="1446"/>
        <w:jc w:val="both"/>
        <w:rPr>
          <w:rFonts w:hint="eastAsia" w:ascii="Arial" w:hAnsi="Arial" w:eastAsia="宋体" w:cs="Times New Roman"/>
          <w:b/>
          <w:bCs/>
          <w:sz w:val="36"/>
          <w:szCs w:val="36"/>
          <w:lang w:eastAsia="zh-CN"/>
        </w:rPr>
      </w:pPr>
      <w:r>
        <w:rPr>
          <w:rFonts w:hint="eastAsia" w:ascii="Arial" w:hAnsi="Arial" w:eastAsia="宋体" w:cs="Times New Roman"/>
          <w:b/>
          <w:bCs/>
          <w:sz w:val="36"/>
          <w:szCs w:val="36"/>
          <w:lang w:eastAsia="zh-CN"/>
        </w:rPr>
      </w:r>
      <w:r/>
    </w:p>
    <w:p>
      <w:pPr>
        <w:jc w:val="both"/>
        <w:rPr>
          <w:rFonts w:hint="eastAsia" w:ascii="Arial" w:hAnsi="Arial" w:eastAsia="宋体" w:cs="Times New Roman"/>
          <w:b/>
          <w:bCs/>
          <w:sz w:val="36"/>
          <w:szCs w:val="36"/>
          <w:lang w:eastAsia="zh-CN"/>
        </w:rPr>
      </w:pPr>
      <w:r>
        <w:rPr>
          <w:rFonts w:hint="eastAsia" w:ascii="Arial" w:hAnsi="Arial" w:eastAsia="宋体" w:cs="Times New Roman"/>
          <w:b/>
          <w:bCs/>
          <w:sz w:val="36"/>
          <w:szCs w:val="36"/>
          <w:lang w:eastAsia="zh-CN"/>
        </w:rPr>
      </w:r>
      <w:r/>
    </w:p>
    <w:p>
      <w:pPr>
        <w:ind w:firstLine="1446"/>
        <w:jc w:val="both"/>
        <w:rPr>
          <w:rFonts w:hint="eastAsia" w:ascii="Arial" w:hAnsi="Arial" w:eastAsia="宋体" w:cs="Times New Roman"/>
          <w:b/>
          <w:bCs/>
          <w:sz w:val="36"/>
          <w:szCs w:val="36"/>
          <w:lang w:eastAsia="zh-CN"/>
        </w:rPr>
      </w:pPr>
      <w:r>
        <w:rPr>
          <w:rFonts w:hint="eastAsia" w:ascii="Arial" w:hAnsi="Arial" w:eastAsia="宋体" w:cs="Times New Roman"/>
          <w:b/>
          <w:bCs/>
          <w:sz w:val="36"/>
          <w:szCs w:val="36"/>
          <w:lang w:eastAsia="zh-CN"/>
        </w:rPr>
      </w:r>
      <w:r/>
    </w:p>
    <w:p>
      <w:pPr>
        <w:ind w:firstLine="1446"/>
        <w:jc w:val="both"/>
        <w:rPr>
          <w:rFonts w:ascii="Arial" w:hAnsi="Arial" w:cs="Times New Roman"/>
          <w:b/>
          <w:bCs/>
          <w:color w:val="000000"/>
          <w:sz w:val="36"/>
          <w:szCs w:val="36"/>
          <w:u w:val="single"/>
          <w:lang w:val="en-US" w:eastAsia="zh-CN"/>
        </w:rPr>
      </w:pPr>
      <w:r>
        <w:rPr>
          <w:rFonts w:hint="eastAsia" w:ascii="Arial" w:hAnsi="Arial" w:eastAsia="宋体" w:cs="Times New Roman"/>
          <w:b/>
          <w:bCs/>
          <w:sz w:val="36"/>
          <w:szCs w:val="36"/>
          <w:lang w:eastAsia="zh-CN"/>
        </w:rPr>
        <w:t xml:space="preserve">项目名称：</w:t>
      </w:r>
      <w:r>
        <w:rPr>
          <w:rFonts w:hint="eastAsia" w:cs="Times New Roman"/>
          <w:b/>
          <w:bCs w:val="0"/>
          <w:color w:val="000000"/>
          <w:sz w:val="36"/>
          <w:szCs w:val="36"/>
          <w:u w:val="none"/>
          <w:lang w:val="en-US" w:eastAsia="zh-CN"/>
        </w:rPr>
        <w:t xml:space="preserve">江浦街道年度乘用车租赁服务</w:t>
      </w:r>
      <w:r/>
    </w:p>
    <w:p>
      <w:pPr>
        <w:ind w:firstLine="1446"/>
        <w:jc w:val="both"/>
        <w:spacing w:before="120" w:after="120" w:line="360" w:lineRule="auto"/>
        <w:rPr>
          <w:sz w:val="36"/>
          <w:szCs w:val="36"/>
          <w:lang w:val="en-US"/>
        </w:rPr>
      </w:pPr>
      <w:r>
        <w:rPr>
          <w:rFonts w:hint="eastAsia" w:ascii="Arial" w:hAnsi="Arial" w:eastAsia="宋体" w:cs="Times New Roman"/>
          <w:b/>
          <w:bCs/>
          <w:sz w:val="36"/>
          <w:szCs w:val="36"/>
          <w:lang w:eastAsia="zh-CN"/>
        </w:rPr>
        <w:t xml:space="preserve">项目编号：</w:t>
      </w:r>
      <w:r>
        <w:rPr>
          <w:rFonts w:hint="eastAsia" w:cs="Times New Roman"/>
          <w:b/>
          <w:bCs w:val="0"/>
          <w:color w:val="000000"/>
          <w:sz w:val="36"/>
          <w:szCs w:val="36"/>
          <w:u w:val="none"/>
          <w:lang w:val="en-US" w:eastAsia="zh-CN"/>
        </w:rPr>
        <w:t xml:space="preserve">JSZC-320111-JZCG-C2025-0119</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ind w:firstLine="0"/>
        <w:jc w:val="center"/>
        <w:rPr>
          <w:rFonts w:hint="eastAsia" w:ascii="Arial" w:hAnsi="Arial" w:cs="Times New Roman"/>
          <w:b/>
          <w:bCs/>
          <w:sz w:val="32"/>
          <w:lang w:eastAsia="zh-CN"/>
        </w:rPr>
      </w:pPr>
      <w:r>
        <w:rPr>
          <w:rFonts w:hint="eastAsia" w:ascii="Arial" w:hAnsi="Arial" w:cs="Times New Roman"/>
          <w:b/>
          <w:bCs/>
          <w:sz w:val="32"/>
          <w:lang w:eastAsia="zh-CN"/>
        </w:rPr>
      </w:r>
      <w:r/>
    </w:p>
    <w:p>
      <w:pPr>
        <w:ind w:firstLine="0"/>
        <w:jc w:val="center"/>
        <w:rPr>
          <w:rFonts w:hint="eastAsia" w:ascii="Arial" w:hAnsi="Arial" w:cs="Times New Roman"/>
          <w:b/>
          <w:bCs/>
          <w:sz w:val="32"/>
          <w:lang w:eastAsia="zh-CN"/>
        </w:rPr>
      </w:pPr>
      <w:r>
        <w:rPr>
          <w:rFonts w:hint="eastAsia" w:ascii="Arial" w:hAnsi="Arial" w:cs="Times New Roman"/>
          <w:b/>
          <w:bCs/>
          <w:sz w:val="32"/>
          <w:lang w:eastAsia="zh-CN"/>
        </w:rPr>
        <w:t xml:space="preserve">南京市公共资源交易中心浦口分中心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cs="Times New Roman"/>
          <w:b/>
          <w:bCs w:val="0"/>
          <w:color w:val="000000"/>
          <w:sz w:val="32"/>
          <w:szCs w:val="32"/>
          <w:u w:val="none"/>
          <w:lang w:val="en-US" w:eastAsia="zh-CN"/>
        </w:rPr>
        <w:t xml:space="preserve">2025</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12</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523127445"/>
      <w:r/>
      <w:bookmarkStart w:id="1" w:name="_Toc479757206"/>
      <w:r/>
      <w:bookmarkStart w:id="2" w:name="_Toc20823272"/>
      <w:r/>
      <w:bookmarkStart w:id="3" w:name="_Toc16938516"/>
      <w:r/>
      <w:bookmarkStart w:id="4" w:name="_Toc513029200"/>
      <w:r/>
      <w:bookmarkStart w:id="5" w:name="_Toc120614210"/>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31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33</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hint="eastAsia" w:ascii="方正小标宋简体" w:hAnsi="方正小标宋简体" w:eastAsia="方正小标宋简体" w:cs="方正小标宋简体"/>
          <w:color w:val="000000"/>
          <w:sz w:val="36"/>
          <w:szCs w:val="36"/>
          <w:lang w:val="en-US"/>
        </w:rPr>
      </w:r>
      <w:r/>
    </w:p>
    <w:p>
      <w:pPr>
        <w:ind w:right="84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336"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sz w:val="24"/>
          <w:szCs w:val="24"/>
          <w:lang w:eastAsia="zh-CN"/>
        </w:rPr>
        <w:t xml:space="preserve">南京市浦口区人民政府江浦街道办事处</w:t>
      </w:r>
      <w:r>
        <w:rPr>
          <w:rFonts w:hint="eastAsia" w:ascii="宋体" w:hAnsi="宋体"/>
          <w:sz w:val="24"/>
          <w:szCs w:val="24"/>
        </w:rPr>
        <w:t xml:space="preserve">（以下简称“采购单位”）委托，南京市公共资源交易中心浦口分中心（以下简称“交易中心”）就</w:t>
      </w:r>
      <w:r>
        <w:rPr>
          <w:rFonts w:hint="eastAsia" w:ascii="宋体" w:hAnsi="宋体"/>
          <w:sz w:val="24"/>
          <w:szCs w:val="24"/>
          <w:lang w:eastAsia="zh-CN"/>
        </w:rPr>
        <w:t xml:space="preserve">江浦街道年度乘用车租赁服务</w:t>
      </w:r>
      <w:r>
        <w:rPr>
          <w:rFonts w:hint="eastAsia" w:ascii="宋体" w:hAnsi="宋体"/>
          <w:sz w:val="24"/>
          <w:szCs w:val="24"/>
        </w:rPr>
        <w:t xml:space="preserve">进行竞争性磋商采购，欢迎符合条件的供应商参加磋商。</w:t>
      </w:r>
      <w:r/>
    </w:p>
    <w:p>
      <w:pPr>
        <w:pStyle w:val="952"/>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keepLines w:val="0"/>
        <w:keepNext w:val="0"/>
        <w:pageBreakBefore w:val="0"/>
        <w:spacing w:line="336" w:lineRule="auto"/>
        <w:widowControl w:val="off"/>
        <w:rPr>
          <w:rFonts w:ascii="宋体" w:hAnsi="宋体"/>
          <w:color w:val="000000"/>
          <w:sz w:val="24"/>
          <w:szCs w:val="24"/>
        </w:rPr>
      </w:pPr>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JSZC-320111-JZCG-C2025-0119</w:t>
      </w:r>
      <w:r/>
    </w:p>
    <w:p>
      <w:pPr>
        <w:ind w:firstLine="480"/>
        <w:keepLines w:val="0"/>
        <w:keepNext w:val="0"/>
        <w:pageBreakBefore w:val="0"/>
        <w:spacing w:line="336" w:lineRule="auto"/>
        <w:widowControl w:val="off"/>
        <w:rPr>
          <w:rFonts w:ascii="宋体" w:hAnsi="宋体" w:eastAsia="宋体"/>
          <w:color w:val="000000"/>
          <w:sz w:val="24"/>
          <w:szCs w:val="24"/>
          <w:lang w:val="en-US" w:eastAsia="zh-CN"/>
        </w:rPr>
      </w:pPr>
      <w:r>
        <w:rPr>
          <w:rFonts w:hint="eastAsia" w:ascii="宋体" w:hAnsi="宋体"/>
          <w:sz w:val="24"/>
          <w:szCs w:val="24"/>
        </w:rPr>
        <w:t xml:space="preserve">2.项目名称：</w:t>
      </w:r>
      <w:r>
        <w:rPr>
          <w:rFonts w:hint="eastAsia" w:ascii="宋体" w:hAnsi="宋体"/>
          <w:color w:val="000000"/>
          <w:sz w:val="24"/>
          <w:szCs w:val="24"/>
          <w:lang w:val="en-US" w:eastAsia="zh-CN"/>
        </w:rPr>
        <w:t xml:space="preserve">江浦街道年度乘用车租赁服务</w:t>
      </w:r>
      <w:r/>
    </w:p>
    <w:p>
      <w:pPr>
        <w:ind w:firstLine="480"/>
        <w:keepLines w:val="0"/>
        <w:keepNext w:val="0"/>
        <w:pageBreakBefore w:val="0"/>
        <w:spacing w:line="336"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125.28万元</w:t>
      </w:r>
      <w:r/>
    </w:p>
    <w:p>
      <w:pPr>
        <w:ind w:firstLine="480"/>
        <w:keepLines w:val="0"/>
        <w:keepNext w:val="0"/>
        <w:pageBreakBefore w:val="0"/>
        <w:spacing w:line="336"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最高限价：125.28万元</w:t>
      </w:r>
      <w:r/>
    </w:p>
    <w:p>
      <w:pPr>
        <w:ind w:firstLine="480"/>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sz w:val="24"/>
          <w:szCs w:val="24"/>
        </w:rPr>
        <w:t xml:space="preserve">5.采购需求（简介）：为保障江浦街道辖区内综合治理执勤公务用车需要，街道拟业租赁公务执勤车，主要用于江浦街道范围以内的日常巡逻、执法及应急保障。（详细内容见本招标文件第四章）</w:t>
      </w:r>
      <w:r/>
    </w:p>
    <w:p>
      <w:pPr>
        <w:ind w:firstLine="480"/>
        <w:keepLines w:val="0"/>
        <w:keepNext w:val="0"/>
        <w:pageBreakBefore w:val="0"/>
        <w:spacing w:line="336" w:lineRule="auto"/>
        <w:widowControl w:val="off"/>
        <w:rPr>
          <w:rFonts w:ascii="宋体" w:hAnsi="宋体" w:eastAsia="宋体" w:cs="宋体"/>
          <w:sz w:val="24"/>
          <w:szCs w:val="24"/>
          <w:highlight w:val="yellow"/>
          <w:lang w:val="en-US" w:eastAsia="zh-CN"/>
        </w:rPr>
      </w:pPr>
      <w:r>
        <w:rPr>
          <w:rFonts w:hint="eastAsia" w:ascii="宋体" w:hAnsi="宋体" w:eastAsia="宋体" w:cs="Times New Roman"/>
          <w:color w:val="000000"/>
          <w:sz w:val="24"/>
          <w:szCs w:val="24"/>
        </w:rPr>
        <w:t xml:space="preserve">6.合同履行期限：自合同签订之日起一年</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cs="宋体"/>
          <w:sz w:val="24"/>
          <w:szCs w:val="24"/>
          <w:highlight w:val="none"/>
          <w:lang w:val="en-US" w:eastAsia="zh-CN"/>
        </w:rPr>
        <w:t xml:space="preserve">不</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sz w:val="24"/>
          <w:szCs w:val="24"/>
          <w:highlight w:val="none"/>
          <w:lang w:val="en-US" w:eastAsia="zh-CN"/>
        </w:rPr>
        <w:t xml:space="preserve">联合体</w:t>
      </w:r>
      <w:r>
        <w:rPr>
          <w:rFonts w:hint="eastAsia" w:ascii="宋体" w:hAnsi="宋体" w:cs="宋体"/>
          <w:sz w:val="24"/>
          <w:szCs w:val="24"/>
          <w:highlight w:val="none"/>
          <w:lang w:val="en-US" w:eastAsia="zh-CN"/>
        </w:rPr>
        <w:t xml:space="preserve">参加</w:t>
      </w:r>
      <w:r>
        <w:rPr>
          <w:rFonts w:hint="eastAsia" w:ascii="宋体" w:hAnsi="宋体" w:eastAsia="宋体" w:cs="宋体"/>
          <w:sz w:val="24"/>
          <w:szCs w:val="24"/>
          <w:highlight w:val="none"/>
          <w:lang w:val="en-US" w:eastAsia="zh-CN"/>
        </w:rPr>
        <w:t xml:space="preserve">磋商</w:t>
      </w:r>
      <w:r/>
    </w:p>
    <w:p>
      <w:pPr>
        <w:pStyle w:val="952"/>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numPr>
          <w:ilvl w:val="0"/>
          <w:numId w:val="5"/>
        </w:numPr>
        <w:ind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落实政府采购政策需满足的资格要求：</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b/>
          <w:bCs/>
          <w:color w:val="000000"/>
          <w:sz w:val="24"/>
          <w:szCs w:val="24"/>
          <w:lang w:val="zh-CN"/>
        </w:rPr>
        <w:t xml:space="preserve">本项目专门面向中小微企业采购，供应商应为中小微企业。提供《中小企业声明函》（格式见第六章）</w:t>
      </w:r>
      <w:r>
        <w:rPr>
          <w:rFonts w:hint="eastAsia" w:ascii="宋体" w:hAnsi="宋体" w:eastAsia="宋体" w:cs="Times New Roman"/>
          <w:color w:val="000000"/>
          <w:sz w:val="24"/>
          <w:szCs w:val="24"/>
          <w:lang w:val="zh-CN"/>
        </w:rPr>
        <w:t xml:space="preserve">；监狱和戒毒企业视同小型、微型企业，提供由省级以上监狱管理局、戒毒管理局</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rPr>
        <w:t xml:space="preserve">含新疆生产建设兵团</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rPr>
        <w:t xml:space="preserve">出具的属于监狱企业的证明文件；残疾人福利性单位视同小型、微型企业，提供《残疾人福利性单位声明函》（格式见第六章）。</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cs="Times New Roman"/>
          <w:color w:val="000000"/>
          <w:sz w:val="24"/>
          <w:szCs w:val="24"/>
          <w:lang w:val="en-US" w:eastAsia="zh-CN"/>
        </w:rPr>
        <w:t xml:space="preserve">租赁和商务服务业</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952"/>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ind w:firstLine="600"/>
        <w:pageBreakBefore w:val="0"/>
        <w:spacing w:line="33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ind w:firstLine="372"/>
        <w:pageBreakBefore w:val="0"/>
        <w:spacing w:before="145" w:after="145" w:line="336" w:lineRule="auto"/>
        <w:widowControl w:val="off"/>
        <w:rPr>
          <w:rFonts w:hint="eastAsia" w:ascii="宋体" w:hAnsi="宋体" w:eastAsia="宋体"/>
          <w:b w:val="0"/>
          <w:bCs w:val="0"/>
          <w:sz w:val="24"/>
          <w:szCs w:val="24"/>
          <w:lang w:eastAsia="zh-CN"/>
        </w:rPr>
        <w:outlineLvl w:val="9"/>
      </w:pPr>
      <w:r>
        <w:rPr>
          <w:rFonts w:hint="eastAsia" w:ascii="宋体" w:hAnsi="宋体" w:cs="宋体"/>
          <w:b w:val="0"/>
          <w:bCs w:val="0"/>
          <w:color w:val="000000"/>
          <w:sz w:val="24"/>
          <w:szCs w:val="24"/>
          <w:u w:val="none"/>
          <w:lang w:eastAsia="zh-CN"/>
        </w:rPr>
        <w:t xml:space="preserve"> 2025年12月17日</w:t>
      </w:r>
      <w:r>
        <w:rPr>
          <w:rFonts w:hint="eastAsia" w:ascii="宋体" w:hAnsi="宋体" w:cs="宋体"/>
          <w:b w:val="0"/>
          <w:bCs w:val="0"/>
          <w:color w:val="000000"/>
          <w:sz w:val="24"/>
          <w:szCs w:val="24"/>
          <w:highlight w:val="none"/>
          <w:u w:val="none"/>
          <w:lang w:val="en-US" w:eastAsia="zh-CN"/>
        </w:rPr>
        <w:t xml:space="preserve">09</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ascii="宋体" w:hAnsi="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952"/>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336" w:lineRule="auto"/>
        <w:widowControl w:val="off"/>
        <w:rPr>
          <w:rFonts w:ascii="宋体" w:hAnsi="宋体" w:cs="宋体"/>
          <w:sz w:val="24"/>
          <w:szCs w:val="24"/>
        </w:rPr>
      </w:pPr>
      <w:r>
        <w:rPr>
          <w:rFonts w:hint="eastAsia" w:ascii="宋体" w:hAnsi="宋体" w:cs="宋体"/>
          <w:sz w:val="24"/>
          <w:szCs w:val="24"/>
        </w:rPr>
        <w:t xml:space="preserve">公告期限为自本公告发布之日起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p>
    <w:p>
      <w:pPr>
        <w:pStyle w:val="952"/>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336" w:lineRule="auto"/>
        <w:widowControl w:val="off"/>
        <w:rPr>
          <w:rFonts w:ascii="宋体" w:hAnsi="宋体" w:cs="宋体"/>
          <w:sz w:val="24"/>
          <w:szCs w:val="24"/>
          <w:highlight w:val="none"/>
        </w:rPr>
      </w:pPr>
      <w:r>
        <w:rPr>
          <w:rFonts w:hint="eastAsia" w:ascii="宋体" w:hAnsi="宋体" w:cs="宋体"/>
          <w:sz w:val="24"/>
          <w:szCs w:val="24"/>
          <w:highlight w:val="none"/>
        </w:rPr>
        <w:t xml:space="preserve">1.本次磋商不收取磋商保证金。</w:t>
      </w:r>
      <w:r/>
    </w:p>
    <w:p>
      <w:pPr>
        <w:ind w:firstLine="480"/>
        <w:pageBreakBefore w:val="0"/>
        <w:spacing w:line="336" w:lineRule="auto"/>
        <w:widowControl w:val="off"/>
        <w:rPr>
          <w:rFonts w:ascii="宋体" w:hAnsi="宋体" w:cs="宋体"/>
          <w:sz w:val="24"/>
          <w:szCs w:val="24"/>
          <w:highlight w:val="none"/>
        </w:rPr>
      </w:pPr>
      <w:r>
        <w:rPr>
          <w:rFonts w:hint="eastAsia" w:ascii="宋体" w:hAnsi="宋体" w:cs="宋体"/>
          <w:sz w:val="24"/>
          <w:szCs w:val="24"/>
          <w:highlight w:val="none"/>
        </w:rPr>
        <w:t xml:space="preserve">2.现场勘察及答疑</w:t>
      </w:r>
      <w:r/>
    </w:p>
    <w:p>
      <w:pPr>
        <w:ind w:firstLine="480"/>
        <w:pageBreakBefore w:val="0"/>
        <w:spacing w:line="336" w:lineRule="auto"/>
        <w:widowControl w:val="off"/>
        <w:rPr>
          <w:rFonts w:ascii="宋体" w:hAnsi="宋体" w:cs="宋体"/>
          <w:sz w:val="24"/>
          <w:szCs w:val="24"/>
          <w:highlight w:val="none"/>
        </w:rPr>
      </w:pPr>
      <w:r>
        <w:rPr>
          <w:rFonts w:hint="eastAsia" w:ascii="宋体" w:hAnsi="宋体" w:cs="宋体"/>
          <w:sz w:val="24"/>
          <w:szCs w:val="24"/>
          <w:highlight w:val="none"/>
        </w:rPr>
        <w:t xml:space="preserve">本项目不组织集中勘察及答疑，供应商如对采购需求有疑问，请咨询采购单位联系人。</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江苏省政府采购数字证书及电子公章，具体详见苏采云系统登录页“新CA办理指南”。《苏采云系统供应商操作手册》（以下简称《操作手册》）可至江苏政府采购网―办事指南-资料下载中心下载，供应商按《操作手册》进行注册、制作、上传电子投标文件。</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.潜在供应商访问政府采购管理交易系统（苏采云）的网络地址和方法：</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（3）“CA数字证书”的办理材料以及供应商操作手册详见：http://jsxcmm.com/help/gys.html。</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（4）潜在供应商访问“苏采云”系统的网络地址和方法：“苏采云”系统的网址：http://jszfcg.jsczt.cn/jszc/login。</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（6）招标</w:t>
      </w:r>
      <w:r>
        <w:rPr>
          <w:rFonts w:hint="eastAsia" w:ascii="宋体" w:hAnsi="宋体" w:cs="宋体"/>
          <w:color w:val="000000"/>
          <w:sz w:val="24"/>
          <w:szCs w:val="24"/>
          <w:highlight w:val="none"/>
          <w:lang w:eastAsia="zh-CN"/>
        </w:rPr>
        <w:t xml:space="preserve">交易中心</w:t>
      </w:r>
      <w:r>
        <w:rPr>
          <w:rFonts w:hint="eastAsia" w:ascii="宋体" w:hAnsi="宋体" w:eastAsia="宋体" w:cs="宋体"/>
          <w:color w:val="000000"/>
          <w:sz w:val="24"/>
          <w:szCs w:val="24"/>
          <w:highlight w:val="none"/>
          <w:lang w:eastAsia="zh-CN"/>
        </w:rPr>
        <w:t xml:space="preserve">（采购</w:t>
      </w:r>
      <w:r>
        <w:rPr>
          <w:rFonts w:hint="eastAsia" w:ascii="宋体" w:hAnsi="宋体" w:cs="宋体"/>
          <w:color w:val="000000"/>
          <w:sz w:val="24"/>
          <w:szCs w:val="24"/>
          <w:highlight w:val="none"/>
          <w:lang w:eastAsia="zh-CN"/>
        </w:rPr>
        <w:t xml:space="preserve">交易中心</w:t>
      </w:r>
      <w:r>
        <w:rPr>
          <w:rFonts w:hint="eastAsia" w:ascii="宋体" w:hAnsi="宋体" w:eastAsia="宋体" w:cs="宋体"/>
          <w:color w:val="000000"/>
          <w:sz w:val="24"/>
          <w:szCs w:val="24"/>
          <w:highlight w:val="none"/>
          <w:lang w:eastAsia="zh-CN"/>
        </w:rPr>
        <w:t xml:space="preserve">）将数据电文形式的采购文件加载至“苏采云”系统，供潜在供应商下载或者查阅。</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（7）苏采云系统使用谷歌浏览器参与不见面开标。</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（8）“苏采云”南京地区客服热线025-83633744、025-83633743。</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w:t>
      </w:r>
      <w:r>
        <w:rPr>
          <w:rFonts w:hint="eastAsia" w:ascii="宋体" w:hAnsi="宋体" w:cs="宋体"/>
          <w:color w:val="000000"/>
          <w:sz w:val="24"/>
          <w:szCs w:val="24"/>
          <w:highlight w:val="none"/>
          <w:lang w:eastAsia="zh-CN"/>
        </w:rPr>
        <w:t xml:space="preserve">交易中心</w:t>
      </w:r>
      <w:r>
        <w:rPr>
          <w:rFonts w:hint="eastAsia" w:ascii="宋体" w:hAnsi="宋体" w:eastAsia="宋体" w:cs="宋体"/>
          <w:color w:val="000000"/>
          <w:sz w:val="24"/>
          <w:szCs w:val="24"/>
          <w:highlight w:val="none"/>
          <w:lang w:eastAsia="zh-CN"/>
        </w:rPr>
        <w:t xml:space="preserve">）原因或网上招投标平台发生故障，导致无法按时完成投标文件解密或开、评标工作无法进行的，可根据实际情况相应延迟解密时间或调整开、评标时间。</w:t>
      </w:r>
      <w:r/>
    </w:p>
    <w:p>
      <w:pPr>
        <w:ind w:firstLine="480"/>
        <w:pageBreakBefore w:val="0"/>
        <w:spacing w:line="33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.有关本次招标的事项若存在变动或修改，请及时关注“江苏政府采购网”“南京公共采购信息网”更正公告。</w:t>
      </w:r>
      <w:r/>
    </w:p>
    <w:p>
      <w:pPr>
        <w:pStyle w:val="952"/>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keepLines w:val="0"/>
        <w:keepNext w:val="0"/>
        <w:pageBreakBefore w:val="0"/>
        <w:spacing w:line="336"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sz w:val="24"/>
          <w:szCs w:val="24"/>
          <w:u w:val="none"/>
          <w:lang w:val="en-US" w:eastAsia="zh-CN"/>
        </w:rPr>
        <w:t xml:space="preserve">南京市浦口区人民政府江浦街道办事处</w:t>
      </w:r>
      <w:r>
        <w:rPr>
          <w:rFonts w:hint="eastAsia" w:ascii="宋体" w:hAnsi="宋体" w:eastAsia="宋体" w:cs="Times New Roman"/>
          <w:sz w:val="24"/>
          <w:szCs w:val="24"/>
          <w:u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cs="Times New Roman"/>
          <w:sz w:val="24"/>
          <w:szCs w:val="24"/>
          <w:u w:val="none"/>
          <w:lang w:val="en-US" w:eastAsia="zh-CN"/>
        </w:rPr>
        <w:t xml:space="preserve">南京市浦口区江浦街道珠泉西路5号</w:t>
      </w:r>
      <w:r>
        <w:rPr>
          <w:rFonts w:hint="eastAsia" w:ascii="宋体" w:hAnsi="宋体" w:eastAsia="宋体" w:cs="Times New Roman"/>
          <w:sz w:val="24"/>
          <w:szCs w:val="24"/>
          <w:u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赵丹</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cs="Times New Roman"/>
          <w:sz w:val="24"/>
          <w:szCs w:val="24"/>
          <w:u w:val="none"/>
          <w:lang w:val="en-US" w:eastAsia="zh-CN"/>
        </w:rPr>
        <w:t xml:space="preserve">02558537502</w:t>
      </w:r>
      <w:r>
        <w:rPr>
          <w:rFonts w:hint="eastAsia" w:ascii="宋体" w:hAnsi="宋体" w:eastAsia="宋体" w:cs="Times New Roman"/>
          <w:sz w:val="24"/>
          <w:szCs w:val="24"/>
          <w:u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2.采购交易中心信息</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名称：南京市公共资源交易中心浦口分中心</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地址：南京市浦口区象山路4号</w:t>
      </w:r>
      <w:r/>
    </w:p>
    <w:p>
      <w:pPr>
        <w:ind w:firstLine="480"/>
        <w:keepLines w:val="0"/>
        <w:keepNext w:val="0"/>
        <w:pageBreakBefore w:val="0"/>
        <w:spacing w:line="336"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杨荣</w:t>
      </w:r>
      <w:r/>
    </w:p>
    <w:p>
      <w:pPr>
        <w:ind w:firstLine="480"/>
        <w:keepLines w:val="0"/>
        <w:keepNext w:val="0"/>
        <w:pageBreakBefore w:val="0"/>
        <w:spacing w:line="336" w:lineRule="auto"/>
        <w:widowControl w:val="off"/>
        <w:rPr>
          <w:rFonts w:hint="eastAsia" w:ascii="宋体" w:hAnsi="宋体" w:eastAsia="宋体" w:cs="宋体"/>
          <w:color w:val="000000"/>
          <w:sz w:val="24"/>
          <w:szCs w:val="24"/>
        </w:rPr>
      </w:pPr>
      <w:r>
        <w:rPr>
          <w:rFonts w:hint="eastAsia" w:ascii="宋体" w:hAnsi="宋体" w:eastAsia="宋体" w:cs="Times New Roman"/>
          <w:sz w:val="24"/>
          <w:szCs w:val="24"/>
          <w:u w:val="none"/>
          <w:lang w:val="en-US" w:eastAsia="zh-CN"/>
        </w:rPr>
        <w:t xml:space="preserve">联系方式：</w:t>
      </w:r>
      <w:r>
        <w:rPr>
          <w:rFonts w:hint="eastAsia" w:ascii="宋体" w:hAnsi="宋体" w:cs="Times New Roman"/>
          <w:sz w:val="24"/>
          <w:szCs w:val="24"/>
          <w:u w:val="none"/>
          <w:lang w:val="en-US" w:eastAsia="zh-CN"/>
        </w:rPr>
        <w:t xml:space="preserve">025-69659043</w:t>
      </w:r>
      <w:r/>
    </w:p>
    <w:p>
      <w:pPr>
        <w:pStyle w:val="1029"/>
        <w:numPr>
          <w:ilvl w:val="0"/>
          <w:numId w:val="0"/>
        </w:numPr>
        <w:jc w:val="both"/>
        <w:pageBreakBefore w:val="0"/>
        <w:spacing w:line="264" w:lineRule="auto"/>
        <w:widowControl w:val="off"/>
        <w:rPr>
          <w:rFonts w:hint="eastAsia"/>
        </w:rPr>
      </w:pPr>
      <w:r>
        <w:rPr>
          <w:rFonts w:hint="eastAsia"/>
        </w:rPr>
      </w:r>
      <w:r/>
    </w:p>
    <w:p>
      <w:pPr>
        <w:ind w:right="840"/>
        <w:jc w:val="both"/>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 第二章  供应商须知</w:t>
      </w:r>
      <w:r/>
    </w:p>
    <w:p>
      <w:pPr>
        <w:pStyle w:val="9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 w:name="_Toc513029203"/>
      <w:r/>
      <w:bookmarkStart w:id="7" w:name="_Toc20823275"/>
      <w:r/>
      <w:bookmarkStart w:id="8" w:name="_Toc120614214"/>
      <w:r/>
      <w:bookmarkStart w:id="9" w:name="_Toc16938519"/>
      <w:r>
        <w:rPr>
          <w:rFonts w:hint="eastAsia" w:ascii="方正黑体_GBK" w:hAnsi="方正黑体_GBK" w:eastAsia="方正黑体_GBK" w:cs="方正黑体_GBK"/>
          <w:b w:val="0"/>
          <w:bCs w:val="0"/>
          <w:color w:val="000000"/>
          <w:sz w:val="30"/>
          <w:szCs w:val="30"/>
        </w:rPr>
        <w:t xml:space="preserve">一、总则</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36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9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9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9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交易中心拒绝接收提交响应文件截止时间后上传的任何电子响应文件。</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9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交易中心将组织磋商小组对响应文件进行评审。</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各供应商应慎重报价，不得恶意降价，磋商小组在评审过程中认为供应商报价过低，有可能影响产品质量或者不能诚信履约的，磋商小组将启动异常低价投标审查程序。具体异常低价的情形及相关内容按照苏财购[2025]62号文件规定执行。</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磋商小组发现</w:t>
      </w:r>
      <w:r>
        <w:rPr>
          <w:rFonts w:hint="eastAsia" w:ascii="宋体" w:hAnsi="宋体" w:cs="Times New Roman"/>
          <w:color w:val="000000"/>
          <w:sz w:val="24"/>
          <w:szCs w:val="21"/>
          <w:lang w:val="en-US" w:eastAsia="zh-CN"/>
        </w:rPr>
        <w:t xml:space="preserve">供应商</w:t>
      </w:r>
      <w:r>
        <w:rPr>
          <w:rFonts w:hint="eastAsia" w:ascii="宋体" w:hAnsi="宋体" w:eastAsia="宋体" w:cs="Times New Roman"/>
          <w:color w:val="000000"/>
          <w:sz w:val="24"/>
          <w:szCs w:val="21"/>
          <w:lang w:val="en-US" w:eastAsia="zh-CN"/>
        </w:rPr>
        <w:t xml:space="preserve">报价低于采购项目预算50%，或者低于采购项目最高限价45%，或者认为</w:t>
      </w:r>
      <w:r>
        <w:rPr>
          <w:rFonts w:hint="eastAsia" w:ascii="宋体" w:hAnsi="宋体" w:cs="Times New Roman"/>
          <w:color w:val="000000"/>
          <w:sz w:val="24"/>
          <w:szCs w:val="21"/>
          <w:lang w:val="en-US" w:eastAsia="zh-CN"/>
        </w:rPr>
        <w:t xml:space="preserve">供应商</w:t>
      </w:r>
      <w:r>
        <w:rPr>
          <w:rFonts w:hint="eastAsia" w:ascii="宋体" w:hAnsi="宋体" w:eastAsia="宋体" w:cs="Times New Roman"/>
          <w:color w:val="000000"/>
          <w:sz w:val="24"/>
          <w:szCs w:val="21"/>
          <w:lang w:val="en-US" w:eastAsia="zh-CN"/>
        </w:rPr>
        <w:t xml:space="preserve">的报价过低，有可能影响产品或服务质量或不能诚信履约的，应当启动异常低价投标审查机制，通过苏采云系统要求</w:t>
      </w:r>
      <w:r>
        <w:rPr>
          <w:rFonts w:hint="eastAsia" w:ascii="宋体" w:hAnsi="宋体" w:cs="Times New Roman"/>
          <w:color w:val="000000"/>
          <w:sz w:val="24"/>
          <w:szCs w:val="21"/>
          <w:lang w:val="en-US" w:eastAsia="zh-CN"/>
        </w:rPr>
        <w:t xml:space="preserve">供应商</w:t>
      </w:r>
      <w:r>
        <w:rPr>
          <w:rFonts w:hint="eastAsia" w:ascii="宋体" w:hAnsi="宋体" w:eastAsia="宋体" w:cs="Times New Roman"/>
          <w:color w:val="000000"/>
          <w:sz w:val="24"/>
          <w:szCs w:val="21"/>
          <w:lang w:val="en-US" w:eastAsia="zh-CN"/>
        </w:rPr>
        <w:t xml:space="preserve">在合理的时间内提供项目具体成本测算等与报价合理性相关的书面说明及相关证明材料。</w:t>
      </w:r>
      <w:r>
        <w:rPr>
          <w:rFonts w:hint="eastAsia" w:ascii="宋体" w:hAnsi="宋体" w:cs="Times New Roman"/>
          <w:color w:val="000000"/>
          <w:sz w:val="24"/>
          <w:szCs w:val="21"/>
          <w:lang w:val="en-US" w:eastAsia="zh-CN"/>
        </w:rPr>
        <w:t xml:space="preserve">供应商</w:t>
      </w:r>
      <w:r>
        <w:rPr>
          <w:rFonts w:hint="eastAsia" w:ascii="宋体" w:hAnsi="宋体" w:eastAsia="宋体" w:cs="Times New Roman"/>
          <w:color w:val="000000"/>
          <w:sz w:val="24"/>
          <w:szCs w:val="21"/>
          <w:lang w:val="en-US" w:eastAsia="zh-CN"/>
        </w:rPr>
        <w:t xml:space="preserve">不提供书面说明及证明材料，或者书面说明、证明材料不能证明其报价合理性的，磋商小组应当将其作为无效</w:t>
      </w:r>
      <w:r>
        <w:rPr>
          <w:rFonts w:hint="eastAsia" w:ascii="宋体" w:hAnsi="宋体" w:cs="Times New Roman"/>
          <w:color w:val="000000"/>
          <w:sz w:val="24"/>
          <w:szCs w:val="21"/>
          <w:lang w:val="en-US" w:eastAsia="zh-CN"/>
        </w:rPr>
        <w:t xml:space="preserve">响应</w:t>
      </w:r>
      <w:r>
        <w:rPr>
          <w:rFonts w:hint="eastAsia" w:ascii="宋体" w:hAnsi="宋体" w:eastAsia="宋体" w:cs="Times New Roman"/>
          <w:color w:val="000000"/>
          <w:sz w:val="24"/>
          <w:szCs w:val="21"/>
          <w:lang w:val="en-US" w:eastAsia="zh-CN"/>
        </w:rPr>
        <w:t xml:space="preserve">处理。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w:t>
      </w: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36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pStyle w:val="9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36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rPr>
      </w:pPr>
      <w:r>
        <w:rPr>
          <w:rFonts w:hint="eastAsia" w:ascii="宋体" w:hAnsi="宋体" w:eastAsia="宋体" w:cs="Times New Roman"/>
          <w:color w:val="000000"/>
          <w:sz w:val="24"/>
          <w:szCs w:val="21"/>
          <w:lang w:val="en-US" w:eastAsia="zh-CN"/>
        </w:rPr>
        <w:t xml:space="preserve">26.4.5 恶意竞争，最后报价明显低于其自身合理成本且又无法提供证明的</w:t>
      </w:r>
      <w:r>
        <w:rPr>
          <w:rFonts w:hint="eastAsia" w:ascii="宋体" w:hAnsi="宋体" w:cs="Times New Roman"/>
          <w:color w:val="000000"/>
          <w:sz w:val="24"/>
          <w:szCs w:val="21"/>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26.4.6 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26.4.7将政府采购合同转包的。</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36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53"/>
        <w:ind w:firstLine="420"/>
        <w:pageBreakBefore w:val="0"/>
        <w:spacing w:before="0" w:after="0" w:line="36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36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9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供应商（含潜在供应商）对采购方式、采购需求、供应商资格条件、评标方法和评标标准、合同文本的询问或质疑向采购人提出，由采购人负责答复。供应商对采购过程、采购结果的询问或质疑向交易中心提出，由交易中心负责答复。</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交易中心和采购人只接收以纸质原件形式送达的质疑,建议供应商尽量通过邮寄方式提交质疑（交易中心和采购人不接受未填写快递运单的快件）。</w:t>
      </w:r>
      <w:r/>
    </w:p>
    <w:p>
      <w:pPr>
        <w:ind w:firstLine="422"/>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b/>
          <w:bCs/>
          <w:color w:val="000000"/>
          <w:sz w:val="24"/>
          <w:lang w:val="zh-CN"/>
        </w:rPr>
        <w:t xml:space="preserve">采购人质疑接收人及联系方式为</w:t>
      </w:r>
      <w:r>
        <w:rPr>
          <w:rFonts w:hint="eastAsia" w:ascii="宋体" w:hAnsi="宋体" w:cs="Times New Roman"/>
          <w:b/>
          <w:bCs/>
          <w:color w:val="000000"/>
          <w:sz w:val="24"/>
          <w:lang w:val="zh-CN"/>
        </w:rPr>
        <w:t xml:space="preserve">南京市浦口区人民政府江浦街道办事处</w:t>
      </w:r>
      <w:r>
        <w:rPr>
          <w:rFonts w:hint="eastAsia" w:ascii="宋体" w:hAnsi="宋体" w:eastAsia="宋体" w:cs="Times New Roman"/>
          <w:b/>
          <w:bCs/>
          <w:color w:val="000000"/>
          <w:sz w:val="24"/>
          <w:lang w:val="zh-CN"/>
        </w:rPr>
        <w:t xml:space="preserve">，联系地址：</w:t>
      </w:r>
      <w:r>
        <w:rPr>
          <w:rFonts w:hint="eastAsia" w:ascii="宋体" w:hAnsi="宋体" w:cs="Times New Roman"/>
          <w:b/>
          <w:bCs/>
          <w:color w:val="000000"/>
          <w:sz w:val="24"/>
          <w:lang w:val="zh-CN"/>
        </w:rPr>
        <w:t xml:space="preserve">南京市浦口区江浦街道珠泉西路5号</w:t>
      </w:r>
      <w:r>
        <w:rPr>
          <w:rFonts w:hint="eastAsia" w:ascii="宋体" w:hAnsi="宋体" w:eastAsia="宋体" w:cs="Times New Roman"/>
          <w:b/>
          <w:bCs/>
          <w:color w:val="000000"/>
          <w:sz w:val="24"/>
          <w:lang w:val="zh-CN"/>
        </w:rPr>
        <w:t xml:space="preserve">，联系人：</w:t>
      </w:r>
      <w:r>
        <w:rPr>
          <w:rFonts w:hint="eastAsia" w:ascii="宋体" w:hAnsi="宋体" w:cs="Times New Roman"/>
          <w:b/>
          <w:bCs/>
          <w:color w:val="000000"/>
          <w:sz w:val="24"/>
          <w:lang w:val="en-US" w:eastAsia="zh-CN"/>
        </w:rPr>
        <w:t xml:space="preserve">赵丹</w:t>
      </w:r>
      <w:r>
        <w:rPr>
          <w:rFonts w:hint="eastAsia" w:ascii="宋体" w:hAnsi="宋体" w:eastAsia="宋体" w:cs="Times New Roman"/>
          <w:b/>
          <w:bCs/>
          <w:color w:val="000000"/>
          <w:sz w:val="24"/>
          <w:lang w:val="zh-CN"/>
        </w:rPr>
        <w:t xml:space="preserve">，联系电话：</w:t>
      </w:r>
      <w:r>
        <w:rPr>
          <w:rFonts w:hint="eastAsia" w:ascii="宋体" w:hAnsi="宋体" w:cs="Times New Roman"/>
          <w:b/>
          <w:bCs/>
          <w:color w:val="000000"/>
          <w:sz w:val="24"/>
          <w:lang w:val="zh-CN"/>
        </w:rPr>
        <w:t xml:space="preserve">02558537502</w:t>
      </w:r>
      <w:r>
        <w:rPr>
          <w:rFonts w:hint="eastAsia" w:ascii="宋体" w:hAnsi="宋体" w:eastAsia="宋体" w:cs="Times New Roman"/>
          <w:b/>
          <w:bCs/>
          <w:color w:val="000000"/>
          <w:sz w:val="24"/>
          <w:lang w:val="zh-CN"/>
        </w:rPr>
        <w:t xml:space="preserve"> 。</w:t>
      </w:r>
      <w:r/>
    </w:p>
    <w:p>
      <w:pPr>
        <w:ind w:firstLine="420"/>
        <w:keepLines w:val="0"/>
        <w:keepNext w:val="0"/>
        <w:pageBreakBefore w:val="0"/>
        <w:spacing w:line="36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交易中心质疑接收部门为业务受理窗口（快递运单上的收件人填写“业务受理窗口”即可），联系地址：南京市浦口区江浦街道象山路4号浦口市民中心B幢五楼受理大厅，联系电话：025-69659047。</w:t>
      </w:r>
      <w:r>
        <w:rPr>
          <w:rFonts w:hint="eastAsia" w:ascii="宋体" w:hAnsi="宋体" w:eastAsia="宋体" w:cs="Times New Roman"/>
          <w:color w:val="000000"/>
          <w:sz w:val="24"/>
          <w:lang w:val="en-US" w:eastAsia="zh-CN"/>
        </w:rPr>
        <w:t xml:space="preserve">  </w:t>
      </w:r>
      <w:r/>
    </w:p>
    <w:p>
      <w:pPr>
        <w:ind w:firstLine="422"/>
        <w:keepLines w:val="0"/>
        <w:keepNext w:val="0"/>
        <w:pageBreakBefore w:val="0"/>
        <w:spacing w:line="36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en-US" w:eastAsia="zh-CN"/>
        </w:rPr>
        <w:t xml:space="preserve">由采购人负责答复的质疑，采购人将《质疑答复函》抄送交易中心。</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952"/>
        <w:ind w:firstLine="465"/>
        <w:pageBreakBefore w:val="0"/>
        <w:spacing w:before="145" w:after="145" w:line="36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53"/>
        <w:ind w:firstLine="420"/>
        <w:pageBreakBefore w:val="0"/>
        <w:spacing w:before="0" w:after="0" w:line="36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6"/>
      <w:r/>
      <w:bookmarkEnd w:id="7"/>
      <w:r/>
      <w:bookmarkEnd w:id="8"/>
      <w:r/>
      <w:bookmarkEnd w:id="9"/>
      <w:r/>
      <w:r/>
    </w:p>
    <w:p>
      <w:pPr>
        <w:pStyle w:val="953"/>
        <w:ind w:firstLine="420"/>
        <w:pageBreakBefore w:val="0"/>
        <w:spacing w:before="0" w:after="0" w:line="36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36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36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36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953"/>
        <w:ind w:firstLine="420"/>
        <w:pageBreakBefore w:val="0"/>
        <w:spacing w:before="0" w:after="0" w:line="36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36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36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36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953"/>
        <w:ind w:firstLine="420"/>
        <w:pageBreakBefore w:val="0"/>
        <w:spacing w:before="0" w:after="0" w:line="36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36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953"/>
        <w:ind w:firstLine="420"/>
        <w:pageBreakBefore w:val="0"/>
        <w:spacing w:before="0" w:after="0" w:line="36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36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36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53"/>
        <w:ind w:firstLine="420"/>
        <w:pageBreakBefore w:val="0"/>
        <w:spacing w:before="0" w:after="0" w:line="360" w:lineRule="auto"/>
        <w:rPr>
          <w:rFonts w:hint="eastAsia" w:ascii="方正楷体_GBK" w:hAnsi="方正楷体_GBK" w:eastAsia="方正楷体_GBK" w:cs="方正楷体_GBK"/>
          <w:color w:val="0000ff"/>
          <w:sz w:val="28"/>
          <w:lang w:val="zh-CN" w:eastAsia="zh-CN"/>
        </w:rPr>
      </w:pPr>
      <w:r>
        <w:rPr>
          <w:rFonts w:hint="eastAsia" w:ascii="方正楷体_GBK" w:hAnsi="方正楷体_GBK" w:eastAsia="方正楷体_GBK" w:cs="方正楷体_GBK"/>
          <w:color w:val="000000"/>
          <w:sz w:val="28"/>
          <w:lang w:val="zh-CN" w:eastAsia="zh-CN"/>
        </w:rPr>
        <w:t xml:space="preserve">43.数据交易说明</w:t>
      </w:r>
      <w:r/>
    </w:p>
    <w:p>
      <w:pPr>
        <w:ind w:firstLine="420"/>
        <w:pageBreakBefore w:val="0"/>
        <w:spacing w:line="36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43.1 数据交易标的包括数据产品、数据服务、数据工具。</w:t>
      </w:r>
      <w:r/>
    </w:p>
    <w:p>
      <w:pPr>
        <w:ind w:firstLine="420"/>
        <w:pageBreakBefore w:val="0"/>
        <w:spacing w:line="36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36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36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101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1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1029"/>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spacing w:before="22"/>
        <w:rPr>
          <w:sz w:val="36"/>
          <w:szCs w:val="36"/>
          <w:highlight w:val="none"/>
          <w:lang w:eastAsia="zh-CN"/>
        </w:rPr>
      </w:pPr>
      <w:r>
        <w:rPr>
          <w:rFonts w:hint="eastAsia" w:ascii="方正仿宋_GBK" w:hAnsi="方正仿宋_GBK" w:eastAsia="方正仿宋_GBK" w:cs="方正仿宋_GBK"/>
          <w:sz w:val="36"/>
          <w:szCs w:val="36"/>
          <w:highlight w:val="none"/>
          <w:lang w:val="en-US" w:eastAsia="zh-CN"/>
        </w:rPr>
        <w:t xml:space="preserve">南京市政府采购合同</w:t>
      </w:r>
      <w:r/>
    </w:p>
    <w:p>
      <w:pPr>
        <w:pStyle w:val="781"/>
        <w:ind w:left="58"/>
        <w:keepLines w:val="0"/>
        <w:keepNext w:val="0"/>
        <w:pageBreakBefore w:val="0"/>
        <w:spacing w:line="560" w:lineRule="exact"/>
        <w:widowControl/>
        <w:rPr>
          <w:sz w:val="24"/>
          <w:szCs w:val="24"/>
          <w:highlight w:val="none"/>
          <w:lang w:eastAsia="zh-CN"/>
        </w:rPr>
      </w:pPr>
      <w:r>
        <w:rPr>
          <w:spacing w:val="-1"/>
          <w:sz w:val="24"/>
          <w:szCs w:val="24"/>
          <w:highlight w:val="none"/>
          <w:lang w:eastAsia="zh-CN"/>
        </w:rPr>
        <w:t xml:space="preserve">项目编号：</w:t>
      </w:r>
      <w:r/>
    </w:p>
    <w:p>
      <w:pPr>
        <w:pStyle w:val="781"/>
        <w:ind w:left="52"/>
        <w:keepLines w:val="0"/>
        <w:keepNext w:val="0"/>
        <w:pageBreakBefore w:val="0"/>
        <w:spacing w:line="560" w:lineRule="exact"/>
        <w:widowControl/>
        <w:rPr>
          <w:sz w:val="24"/>
          <w:szCs w:val="24"/>
          <w:highlight w:val="none"/>
          <w:lang w:eastAsia="zh-CN"/>
        </w:rPr>
      </w:pPr>
      <w:r>
        <w:rPr>
          <w:spacing w:val="-7"/>
          <w:position w:val="17"/>
          <w:sz w:val="24"/>
          <w:szCs w:val="24"/>
          <w:highlight w:val="none"/>
          <w:lang w:eastAsia="zh-CN"/>
        </w:rPr>
        <w:t xml:space="preserve">项目名称：</w:t>
      </w:r>
      <w:r/>
    </w:p>
    <w:p>
      <w:pPr>
        <w:pStyle w:val="781"/>
        <w:ind w:left="57"/>
        <w:keepLines w:val="0"/>
        <w:keepNext w:val="0"/>
        <w:pageBreakBefore w:val="0"/>
        <w:spacing w:line="560" w:lineRule="exact"/>
        <w:widowControl/>
        <w:rPr>
          <w:sz w:val="24"/>
          <w:szCs w:val="24"/>
          <w:highlight w:val="none"/>
          <w:lang w:eastAsia="zh-CN"/>
        </w:rPr>
      </w:pPr>
      <w:r>
        <w:rPr>
          <w:spacing w:val="-9"/>
          <w:position w:val="20"/>
          <w:sz w:val="24"/>
          <w:szCs w:val="24"/>
          <w:highlight w:val="none"/>
          <w:lang w:eastAsia="zh-CN"/>
        </w:rPr>
        <w:t xml:space="preserve">政府采购计划号：</w:t>
      </w:r>
      <w:r/>
    </w:p>
    <w:p>
      <w:pPr>
        <w:pStyle w:val="781"/>
        <w:keepLines w:val="0"/>
        <w:keepNext w:val="0"/>
        <w:pageBreakBefore w:val="0"/>
        <w:spacing w:line="560" w:lineRule="exact"/>
        <w:widowControl/>
        <w:rPr>
          <w:spacing w:val="-12"/>
          <w:sz w:val="24"/>
          <w:szCs w:val="24"/>
          <w:highlight w:val="none"/>
          <w:lang w:eastAsia="zh-CN"/>
        </w:rPr>
      </w:pPr>
      <w:r>
        <w:rPr>
          <w:spacing w:val="-2"/>
          <w:sz w:val="24"/>
          <w:szCs w:val="24"/>
          <w:highlight w:val="none"/>
          <w:lang w:eastAsia="zh-CN"/>
        </w:rPr>
        <w:t xml:space="preserve">采购人</w:t>
      </w:r>
      <w:r>
        <w:rPr>
          <w:sz w:val="24"/>
          <w:szCs w:val="24"/>
          <w:highlight w:val="none"/>
          <w:lang w:eastAsia="zh-CN"/>
        </w:rPr>
        <w:t xml:space="preserve">：（</w:t>
      </w:r>
      <w:r>
        <w:rPr>
          <w:spacing w:val="-2"/>
          <w:sz w:val="24"/>
          <w:szCs w:val="24"/>
          <w:highlight w:val="none"/>
          <w:lang w:eastAsia="zh-CN"/>
        </w:rPr>
        <w:t xml:space="preserve">以下简称甲方）</w:t>
      </w:r>
      <w:r>
        <w:rPr>
          <w:rFonts w:hint="eastAsia"/>
          <w:spacing w:val="-2"/>
          <w:sz w:val="24"/>
          <w:szCs w:val="24"/>
          <w:highlight w:val="none"/>
          <w:lang w:val="en-US" w:eastAsia="zh-CN"/>
        </w:rPr>
        <w:t xml:space="preserve">                     </w:t>
      </w:r>
      <w:r>
        <w:rPr>
          <w:rFonts w:hint="eastAsia"/>
          <w:spacing w:val="-12"/>
          <w:sz w:val="24"/>
          <w:szCs w:val="24"/>
          <w:highlight w:val="none"/>
          <w:lang w:eastAsia="zh-CN"/>
        </w:rPr>
        <w:t xml:space="preserve">供应商：（以下简称乙方）</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r>
      <w:r/>
    </w:p>
    <w:p>
      <w:pPr>
        <w:pStyle w:val="781"/>
        <w:keepLines w:val="0"/>
        <w:keepNext w:val="0"/>
        <w:pageBreakBefore w:val="0"/>
        <w:spacing w:line="560" w:lineRule="exact"/>
        <w:widowControl/>
        <w:rPr>
          <w:sz w:val="24"/>
          <w:szCs w:val="24"/>
          <w:highlight w:val="none"/>
          <w:lang w:eastAsia="zh-CN"/>
        </w:rPr>
      </w:pPr>
      <w:r>
        <w:rPr>
          <w:spacing w:val="-12"/>
          <w:sz w:val="24"/>
          <w:szCs w:val="24"/>
          <w:highlight w:val="none"/>
          <w:lang w:eastAsia="zh-CN"/>
        </w:rPr>
        <w:t xml:space="preserve">住所地：</w:t>
      </w:r>
      <w:r>
        <w:rPr>
          <w:rFonts w:hint="eastAsia"/>
          <w:spacing w:val="-12"/>
          <w:sz w:val="24"/>
          <w:szCs w:val="24"/>
          <w:highlight w:val="none"/>
          <w:lang w:val="en-US" w:eastAsia="zh-CN"/>
        </w:rPr>
        <w:t xml:space="preserve">                                              </w:t>
      </w:r>
      <w:r>
        <w:rPr>
          <w:spacing w:val="-12"/>
          <w:sz w:val="24"/>
          <w:szCs w:val="24"/>
          <w:highlight w:val="none"/>
          <w:lang w:eastAsia="zh-CN"/>
        </w:rPr>
        <w:t xml:space="preserve">住所地：</w:t>
      </w:r>
      <w:r/>
    </w:p>
    <w:p>
      <w:pPr>
        <w:pStyle w:val="781"/>
        <w:ind w:left="53"/>
        <w:keepLines w:val="0"/>
        <w:keepNext w:val="0"/>
        <w:pageBreakBefore w:val="0"/>
        <w:spacing w:line="560" w:lineRule="exact"/>
        <w:widowControl/>
        <w:rPr>
          <w:spacing w:val="-12"/>
          <w:sz w:val="24"/>
          <w:szCs w:val="24"/>
          <w:highlight w:val="none"/>
          <w:lang w:eastAsia="zh-CN"/>
        </w:rPr>
      </w:pPr>
      <w:r>
        <w:rPr>
          <w:spacing w:val="-12"/>
          <w:sz w:val="24"/>
          <w:szCs w:val="24"/>
          <w:highlight w:val="none"/>
          <w:lang w:eastAsia="zh-CN"/>
        </w:rPr>
      </w:r>
      <w:r/>
    </w:p>
    <w:p>
      <w:pPr>
        <w:pStyle w:val="781"/>
        <w:keepLines w:val="0"/>
        <w:keepNext w:val="0"/>
        <w:pageBreakBefore w:val="0"/>
        <w:spacing w:line="560" w:lineRule="exact"/>
        <w:widowControl/>
        <w:rPr>
          <w:rFonts w:hint="eastAsia"/>
          <w:spacing w:val="-5"/>
          <w:position w:val="17"/>
          <w:sz w:val="24"/>
          <w:szCs w:val="24"/>
          <w:highlight w:val="none"/>
          <w:lang w:val="en-US" w:eastAsia="zh-CN"/>
        </w:rPr>
      </w:pPr>
      <w:r>
        <w:rPr>
          <w:spacing w:val="-4"/>
          <w:position w:val="17"/>
          <w:sz w:val="24"/>
          <w:szCs w:val="24"/>
          <w:highlight w:val="none"/>
          <w:lang w:eastAsia="zh-CN"/>
        </w:rPr>
        <w:t xml:space="preserve">根据《中华人民共和国政府采购法》《中华人民共和国民</w:t>
      </w:r>
      <w:r>
        <w:rPr>
          <w:spacing w:val="-5"/>
          <w:position w:val="17"/>
          <w:sz w:val="24"/>
          <w:szCs w:val="24"/>
          <w:highlight w:val="none"/>
          <w:lang w:eastAsia="zh-CN"/>
        </w:rPr>
        <w:t xml:space="preserve">法典》等法律法规的规定，甲乙双方经协商签订本合同。</w:t>
      </w:r>
      <w:r/>
    </w:p>
    <w:p>
      <w:pPr>
        <w:pStyle w:val="781"/>
        <w:numPr>
          <w:ilvl w:val="0"/>
          <w:numId w:val="6"/>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 合同标的</w:t>
      </w:r>
      <w:r/>
    </w:p>
    <w:p>
      <w:pPr>
        <w:pStyle w:val="781"/>
        <w:numPr>
          <w:ilvl w:val="0"/>
          <w:numId w:val="0"/>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乙方提供下列服务：</w:t>
      </w:r>
      <w:r/>
    </w:p>
    <w:tbl>
      <w:tblPr>
        <w:tblStyle w:val="1066"/>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1052"/>
        <w:gridCol w:w="5235"/>
        <w:gridCol w:w="1755"/>
        <w:gridCol w:w="1464"/>
      </w:tblGrid>
      <w:tr>
        <w:trPr>
          <w:trHeight w:val="459"/>
        </w:trPr>
        <w:tc>
          <w:tcPr>
            <w:tcW w:w="1052" w:type="dxa"/>
            <w:vAlign w:val="top"/>
            <w:textDirection w:val="lrTb"/>
            <w:noWrap w:val="false"/>
          </w:tcPr>
          <w:p>
            <w:pPr>
              <w:pStyle w:val="1074"/>
              <w:ind w:left="68"/>
              <w:jc w:val="center"/>
              <w:keepLines w:val="0"/>
              <w:keepNext w:val="0"/>
              <w:pageBreakBefore w:val="0"/>
              <w:spacing w:line="560" w:lineRule="exact"/>
              <w:widowControl/>
              <w:rPr>
                <w:sz w:val="24"/>
                <w:szCs w:val="24"/>
                <w:highlight w:val="none"/>
              </w:rPr>
            </w:pPr>
            <w:r>
              <w:rPr>
                <w:spacing w:val="-2"/>
                <w:sz w:val="24"/>
                <w:szCs w:val="24"/>
                <w:highlight w:val="none"/>
              </w:rPr>
              <w:t xml:space="preserve">序号</w:t>
            </w:r>
            <w:r/>
          </w:p>
        </w:tc>
        <w:tc>
          <w:tcPr>
            <w:tcBorders>
              <w:top w:val="single" w:color="404040" w:sz="2" w:space="0"/>
              <w:left w:val="single" w:color="404040" w:sz="2" w:space="0"/>
              <w:bottom w:val="single" w:color="404040" w:sz="2" w:space="0"/>
              <w:right w:val="single" w:color="404040" w:sz="2" w:space="0"/>
            </w:tcBorders>
            <w:tcW w:w="5235" w:type="dxa"/>
            <w:vAlign w:val="top"/>
            <w:textDirection w:val="lrTb"/>
            <w:noWrap w:val="false"/>
          </w:tcPr>
          <w:p>
            <w:pPr>
              <w:pStyle w:val="1074"/>
              <w:ind w:left="56"/>
              <w:jc w:val="center"/>
              <w:keepLines w:val="0"/>
              <w:keepNext w:val="0"/>
              <w:pageBreakBefore w:val="0"/>
              <w:spacing w:line="560" w:lineRule="exact"/>
              <w:widowControl/>
              <w:rPr>
                <w:sz w:val="24"/>
                <w:szCs w:val="24"/>
                <w:highlight w:val="none"/>
              </w:rPr>
            </w:pPr>
            <w:r>
              <w:rPr>
                <w:spacing w:val="-3"/>
                <w:sz w:val="24"/>
                <w:szCs w:val="24"/>
                <w:highlight w:val="none"/>
              </w:rPr>
              <w:t xml:space="preserve">名称</w:t>
            </w:r>
            <w:r/>
          </w:p>
        </w:tc>
        <w:tc>
          <w:tcPr>
            <w:tcW w:w="1755" w:type="dxa"/>
            <w:vAlign w:val="top"/>
            <w:textDirection w:val="lrTb"/>
            <w:noWrap w:val="false"/>
          </w:tcPr>
          <w:p>
            <w:pPr>
              <w:pStyle w:val="1074"/>
              <w:ind w:left="5"/>
              <w:jc w:val="center"/>
              <w:keepLines w:val="0"/>
              <w:keepNext w:val="0"/>
              <w:pageBreakBefore w:val="0"/>
              <w:spacing w:line="560" w:lineRule="exact"/>
              <w:widowControl/>
              <w:rPr>
                <w:sz w:val="24"/>
                <w:szCs w:val="24"/>
                <w:highlight w:val="none"/>
              </w:rPr>
            </w:pPr>
            <w:r>
              <w:rPr>
                <w:spacing w:val="-3"/>
                <w:sz w:val="24"/>
                <w:szCs w:val="24"/>
                <w:highlight w:val="none"/>
              </w:rPr>
              <w:t xml:space="preserve">数量</w:t>
            </w:r>
            <w:r/>
          </w:p>
        </w:tc>
        <w:tc>
          <w:tcPr>
            <w:tcW w:w="1464" w:type="dxa"/>
            <w:vAlign w:val="top"/>
            <w:textDirection w:val="lrTb"/>
            <w:noWrap w:val="false"/>
          </w:tcPr>
          <w:p>
            <w:pPr>
              <w:pStyle w:val="1074"/>
              <w:ind w:left="42"/>
              <w:jc w:val="center"/>
              <w:keepLines w:val="0"/>
              <w:keepNext w:val="0"/>
              <w:pageBreakBefore w:val="0"/>
              <w:spacing w:line="560" w:lineRule="exact"/>
              <w:widowControl/>
              <w:rPr>
                <w:sz w:val="24"/>
                <w:szCs w:val="24"/>
                <w:highlight w:val="none"/>
              </w:rPr>
            </w:pPr>
            <w:r>
              <w:rPr>
                <w:spacing w:val="-3"/>
                <w:sz w:val="24"/>
                <w:szCs w:val="24"/>
                <w:highlight w:val="none"/>
              </w:rPr>
              <w:t xml:space="preserve">单位</w:t>
            </w:r>
            <w:r/>
          </w:p>
        </w:tc>
      </w:tr>
      <w:tr>
        <w:trPr>
          <w:trHeight w:val="528"/>
        </w:trPr>
        <w:tc>
          <w:tcPr>
            <w:tcBorders>
              <w:bottom w:val="single" w:color="404040" w:sz="2" w:space="0"/>
              <w:right w:val="single" w:color="404040" w:sz="2" w:space="0"/>
            </w:tcBorders>
            <w:tcW w:w="1052" w:type="dxa"/>
            <w:vAlign w:val="top"/>
            <w:textDirection w:val="lrTb"/>
            <w:noWrap w:val="false"/>
          </w:tcPr>
          <w:p>
            <w:pPr>
              <w:pStyle w:val="1074"/>
              <w:ind w:left="87"/>
              <w:jc w:val="center"/>
              <w:keepLines w:val="0"/>
              <w:keepNext w:val="0"/>
              <w:pageBreakBefore w:val="0"/>
              <w:spacing w:line="560" w:lineRule="exact"/>
              <w:widowControl/>
              <w:rPr>
                <w:sz w:val="24"/>
                <w:szCs w:val="24"/>
                <w:highlight w:val="none"/>
              </w:rPr>
            </w:pPr>
            <w:r>
              <w:rPr>
                <w:sz w:val="24"/>
                <w:szCs w:val="24"/>
                <w:highlight w:val="none"/>
              </w:rPr>
              <w:t xml:space="preserve">1</w:t>
            </w:r>
            <w:r/>
          </w:p>
        </w:tc>
        <w:tc>
          <w:tcPr>
            <w:tcBorders>
              <w:top w:val="single" w:color="404040" w:sz="2" w:space="0"/>
              <w:left w:val="single" w:color="404040" w:sz="2" w:space="0"/>
              <w:bottom w:val="single" w:color="404040" w:sz="2" w:space="0"/>
              <w:right w:val="single" w:color="404040" w:sz="2" w:space="0"/>
            </w:tcBorders>
            <w:tcW w:w="5235" w:type="dxa"/>
            <w:vAlign w:val="top"/>
            <w:textDirection w:val="lrTb"/>
            <w:noWrap w:val="false"/>
          </w:tcPr>
          <w:p>
            <w:pPr>
              <w:pStyle w:val="1074"/>
              <w:ind w:left="54"/>
              <w:jc w:val="center"/>
              <w:keepLines w:val="0"/>
              <w:keepNext w:val="0"/>
              <w:pageBreakBefore w:val="0"/>
              <w:spacing w:line="560" w:lineRule="exact"/>
              <w:widowControl/>
              <w:rPr>
                <w:sz w:val="24"/>
                <w:szCs w:val="24"/>
                <w:highlight w:val="none"/>
                <w:lang w:eastAsia="zh-CN"/>
              </w:rPr>
            </w:pPr>
            <w:r>
              <w:rPr>
                <w:rFonts w:hint="eastAsia"/>
                <w:sz w:val="24"/>
                <w:szCs w:val="24"/>
                <w:highlight w:val="none"/>
                <w:lang w:val="en-US" w:eastAsia="zh-CN"/>
              </w:rPr>
              <w:t xml:space="preserve">江浦街道年度乘用车租赁服务</w:t>
            </w:r>
            <w:r/>
          </w:p>
        </w:tc>
        <w:tc>
          <w:tcPr>
            <w:tcBorders>
              <w:bottom w:val="single" w:color="404040" w:sz="2" w:space="0"/>
              <w:right w:val="single" w:color="404040" w:sz="2" w:space="0"/>
            </w:tcBorders>
            <w:tcW w:w="1755" w:type="dxa"/>
            <w:vAlign w:val="top"/>
            <w:textDirection w:val="lrTb"/>
            <w:noWrap w:val="false"/>
          </w:tcPr>
          <w:p>
            <w:pPr>
              <w:pStyle w:val="1074"/>
              <w:ind w:left="21"/>
              <w:jc w:val="center"/>
              <w:keepLines w:val="0"/>
              <w:keepNext w:val="0"/>
              <w:pageBreakBefore w:val="0"/>
              <w:spacing w:line="560" w:lineRule="exact"/>
              <w:widowControl/>
              <w:rPr>
                <w:rFonts w:hint="default" w:eastAsia="宋体"/>
                <w:sz w:val="24"/>
                <w:szCs w:val="24"/>
                <w:highlight w:val="none"/>
                <w:lang w:val="en-US" w:eastAsia="zh-CN"/>
              </w:rPr>
            </w:pPr>
            <w:r>
              <w:rPr>
                <w:rFonts w:hint="eastAsia" w:eastAsia="宋体"/>
                <w:sz w:val="24"/>
                <w:szCs w:val="24"/>
                <w:highlight w:val="none"/>
                <w:lang w:val="en-US" w:eastAsia="zh-CN"/>
              </w:rPr>
              <w:t xml:space="preserve">1</w:t>
            </w:r>
            <w:r/>
          </w:p>
        </w:tc>
        <w:tc>
          <w:tcPr>
            <w:tcBorders>
              <w:bottom w:val="single" w:color="404040" w:sz="2" w:space="0"/>
              <w:right w:val="single" w:color="404040" w:sz="2" w:space="0"/>
            </w:tcBorders>
            <w:tcW w:w="1464" w:type="dxa"/>
            <w:vAlign w:val="top"/>
            <w:textDirection w:val="lrTb"/>
            <w:noWrap w:val="false"/>
          </w:tcPr>
          <w:p>
            <w:pPr>
              <w:pStyle w:val="1074"/>
              <w:ind w:left="44"/>
              <w:jc w:val="center"/>
              <w:keepLines w:val="0"/>
              <w:keepNext w:val="0"/>
              <w:pageBreakBefore w:val="0"/>
              <w:spacing w:line="560" w:lineRule="exact"/>
              <w:widowControl/>
              <w:rPr>
                <w:rFonts w:hint="eastAsia" w:eastAsia="宋体"/>
                <w:sz w:val="24"/>
                <w:szCs w:val="24"/>
                <w:highlight w:val="none"/>
                <w:lang w:val="en-US" w:eastAsia="zh-CN"/>
              </w:rPr>
            </w:pPr>
            <w:r>
              <w:rPr>
                <w:rFonts w:hint="eastAsia"/>
                <w:sz w:val="24"/>
                <w:szCs w:val="24"/>
                <w:highlight w:val="none"/>
                <w:lang w:val="en-US" w:eastAsia="zh-CN"/>
              </w:rPr>
              <w:t xml:space="preserve">项</w:t>
            </w:r>
            <w:r/>
          </w:p>
        </w:tc>
      </w:tr>
    </w:tbl>
    <w:p>
      <w:pPr>
        <w:pStyle w:val="781"/>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服务内容详见乙方投标（响应）文件。</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第二条  合同总价款</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本合同项下总价款为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大写）人民币。</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如有分项价款，详见《分项报价表》 </w:t>
      </w:r>
      <w:r/>
    </w:p>
    <w:p>
      <w:pPr>
        <w:pStyle w:val="781"/>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本合同总价款包含以下内容：</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（1）完成本服务项目发生的所有含税费用；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（2）支付给员工的工资和国家强制缴纳的各种社会保障资金；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（3）乙方应当提供的伴随服务/售后服务费用；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（4）供应商认为需要的其他费用。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第三条  合同期限     </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第四条  组成本合同的有关文件</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下列关于南京市政府采购的招标（采购）文件、投标（响应）文件，以及与本次采购活动相关的文件及有关附件是本合同不可分割的组成部分，与本合同具有同等法律效力，这些文件包括但不限于：</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（1）投标（响应）文件和报价表；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（2）服务一览表；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（3）交付一览表；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（4）技术规格响应表；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（5）投标（响应）承诺；</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（6）服务承诺；</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（7）中标（成交）通知书；</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（8）甲乙双方商定的其他文件。</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第五条  权利保证</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乙方应保证甲方在使用该服务或其任何一部分时不受第三方提出侵犯其专利权、版权、商标权或其他权利的起诉。一旦出现侵权，乙方应承担全部责任。</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第六条  质量保证</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乙方所提供的服务的技术规格应与招标（采购）文件规定的技术规格及所附的“技术规格响应表”相一致；若技术性能无特殊说明，则按国家有关部门最新颁布的标准及规范为准。</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第七条 交付和验收</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1.乙方应当在合同期限内完成服务事项。</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2.验收标准：按行业通行标准和乙方投标（响应）文件的承诺（详见合同附件载明的标准，并不低于国家相关标准）。</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第八条  履约保证金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1.中标（成交）供应商应按以下第（1）方式向采购人缴纳履约保证金：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（1）无需缴纳履约保证金；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（2）投标保证金转为履约保证金；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（3）以支票、汇票、本票或者金融机构、担保机构出具的保函等非现金形式缴纳履约保证金，金额为。</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2.履约保证金的有效期至时止。</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3.如乙方未能履行合同规定的义务，甲方有权从履约保证金中取得补偿。</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4.履约保证金扣除甲方应得的补偿后的余额，在有效期满后个工作日内无息退还给乙方。</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第九条  合同款支付</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1.本合同项下所有款项均以人民币支付。</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2.本合同项下的采购资金由乙方开具发票，甲方收到发票后按照本条第3款的约定支付，乙方未提供发票或提供发票不合格的，甲方有权拒绝付款并不承担延迟付款的责任，且乙方仍应按约履行合同义务。</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3.付款条件： </w:t>
      </w:r>
      <w:r/>
    </w:p>
    <w:p>
      <w:pPr>
        <w:pStyle w:val="781"/>
        <w:ind w:left="53"/>
        <w:keepLines w:val="0"/>
        <w:keepNext w:val="0"/>
        <w:pageBreakBefore w:val="0"/>
        <w:spacing w:line="560" w:lineRule="exact"/>
        <w:widowControl/>
        <w:rPr>
          <w:rFonts w:hint="eastAsia" w:ascii="Times New Roman" w:hAnsi="Times New Roman" w:eastAsia="宋体" w:cs="Times New Roman"/>
          <w:spacing w:val="-12"/>
          <w:sz w:val="24"/>
          <w:szCs w:val="24"/>
          <w:highlight w:val="none"/>
          <w:lang w:eastAsia="zh-CN"/>
        </w:rPr>
      </w:pPr>
      <w:r>
        <w:rPr>
          <w:rFonts w:hint="eastAsia" w:ascii="Times New Roman" w:hAnsi="Times New Roman" w:eastAsia="宋体" w:cs="Times New Roman"/>
          <w:spacing w:val="-12"/>
          <w:sz w:val="24"/>
          <w:szCs w:val="24"/>
          <w:highlight w:val="none"/>
          <w:lang w:eastAsia="zh-CN"/>
        </w:rPr>
        <w:t xml:space="preserve">（</w:t>
      </w:r>
      <w:r>
        <w:rPr>
          <w:rFonts w:hint="eastAsia" w:ascii="Times New Roman" w:hAnsi="Times New Roman" w:eastAsia="宋体" w:cs="Times New Roman"/>
          <w:spacing w:val="-12"/>
          <w:sz w:val="24"/>
          <w:szCs w:val="24"/>
          <w:highlight w:val="none"/>
          <w:lang w:val="en-US" w:eastAsia="zh-CN"/>
        </w:rPr>
        <w:t xml:space="preserve">1</w:t>
      </w:r>
      <w:r>
        <w:rPr>
          <w:rFonts w:hint="eastAsia" w:ascii="Times New Roman" w:hAnsi="Times New Roman" w:eastAsia="宋体" w:cs="Times New Roman"/>
          <w:spacing w:val="-12"/>
          <w:sz w:val="24"/>
          <w:szCs w:val="24"/>
          <w:highlight w:val="none"/>
          <w:lang w:eastAsia="zh-CN"/>
        </w:rPr>
        <w:t xml:space="preserve">）租赁费用每半年结算一次，每次结算时按实际租赁车辆的数量乘中标单价进行结算。（服务费付费比例标准：考核分95分（含）以上，付费比例100%；90分（含）-95分（不含），付费比例80%；80分（含）-90分（不含），付费比例60%；80分以下，付费比例50%。）</w:t>
      </w:r>
      <w:r/>
    </w:p>
    <w:p>
      <w:pPr>
        <w:pStyle w:val="781"/>
        <w:ind w:left="53"/>
        <w:keepLines w:val="0"/>
        <w:keepNext w:val="0"/>
        <w:pageBreakBefore w:val="0"/>
        <w:spacing w:line="560" w:lineRule="exact"/>
        <w:widowControl/>
        <w:rPr>
          <w:rFonts w:hint="eastAsia" w:ascii="Times New Roman" w:hAnsi="Times New Roman" w:eastAsia="宋体" w:cs="Times New Roman"/>
          <w:spacing w:val="-12"/>
          <w:sz w:val="24"/>
          <w:szCs w:val="24"/>
          <w:highlight w:val="none"/>
          <w:lang w:val="zh-CN" w:eastAsia="zh-CN"/>
        </w:rPr>
      </w:pPr>
      <w:r>
        <w:rPr>
          <w:rFonts w:hint="eastAsia" w:ascii="Times New Roman" w:hAnsi="Times New Roman" w:eastAsia="宋体" w:cs="Times New Roman"/>
          <w:spacing w:val="-12"/>
          <w:sz w:val="24"/>
          <w:szCs w:val="24"/>
          <w:highlight w:val="none"/>
          <w:lang w:val="zh-CN" w:eastAsia="zh-CN"/>
        </w:rPr>
        <w:t xml:space="preserve">（</w:t>
      </w:r>
      <w:r>
        <w:rPr>
          <w:rFonts w:hint="eastAsia" w:ascii="Times New Roman" w:hAnsi="Times New Roman" w:eastAsia="宋体" w:cs="Times New Roman"/>
          <w:spacing w:val="-12"/>
          <w:sz w:val="24"/>
          <w:szCs w:val="24"/>
          <w:highlight w:val="none"/>
          <w:lang w:val="en-US" w:eastAsia="zh-CN"/>
        </w:rPr>
        <w:t xml:space="preserve">2</w:t>
      </w:r>
      <w:r>
        <w:rPr>
          <w:rFonts w:hint="eastAsia" w:ascii="Times New Roman" w:hAnsi="Times New Roman" w:eastAsia="宋体" w:cs="Times New Roman"/>
          <w:spacing w:val="-12"/>
          <w:sz w:val="24"/>
          <w:szCs w:val="24"/>
          <w:highlight w:val="none"/>
          <w:lang w:val="zh-CN" w:eastAsia="zh-CN"/>
        </w:rPr>
        <w:t xml:space="preserve">）在履行合同期间如成本上涨或降低，业主对价格一律不作调整。</w:t>
      </w:r>
      <w:r/>
    </w:p>
    <w:p>
      <w:pPr>
        <w:pStyle w:val="781"/>
        <w:ind w:left="53"/>
        <w:keepLines w:val="0"/>
        <w:keepNext w:val="0"/>
        <w:pageBreakBefore w:val="0"/>
        <w:spacing w:line="560" w:lineRule="exact"/>
        <w:widowControl/>
        <w:rPr>
          <w:rFonts w:hint="eastAsia" w:ascii="Times New Roman" w:hAnsi="Times New Roman" w:eastAsia="宋体" w:cs="Times New Roman"/>
          <w:spacing w:val="-12"/>
          <w:sz w:val="24"/>
          <w:szCs w:val="24"/>
          <w:highlight w:val="none"/>
          <w:lang w:val="zh-CN" w:eastAsia="zh-CN"/>
        </w:rPr>
      </w:pPr>
      <w:r>
        <w:rPr>
          <w:rFonts w:hint="eastAsia" w:ascii="Times New Roman" w:hAnsi="Times New Roman" w:eastAsia="宋体" w:cs="Times New Roman"/>
          <w:spacing w:val="-12"/>
          <w:sz w:val="24"/>
          <w:szCs w:val="24"/>
          <w:highlight w:val="none"/>
          <w:lang w:eastAsia="zh-CN"/>
        </w:rPr>
        <w:t xml:space="preserve">（</w:t>
      </w:r>
      <w:r>
        <w:rPr>
          <w:rFonts w:hint="eastAsia" w:ascii="Times New Roman" w:hAnsi="Times New Roman" w:eastAsia="宋体" w:cs="Times New Roman"/>
          <w:spacing w:val="-12"/>
          <w:sz w:val="24"/>
          <w:szCs w:val="24"/>
          <w:highlight w:val="none"/>
          <w:lang w:val="en-US" w:eastAsia="zh-CN"/>
        </w:rPr>
        <w:t xml:space="preserve">3</w:t>
      </w:r>
      <w:r>
        <w:rPr>
          <w:rFonts w:hint="eastAsia" w:ascii="Times New Roman" w:hAnsi="Times New Roman" w:eastAsia="宋体" w:cs="Times New Roman"/>
          <w:spacing w:val="-12"/>
          <w:sz w:val="24"/>
          <w:szCs w:val="24"/>
          <w:highlight w:val="none"/>
          <w:lang w:eastAsia="zh-CN"/>
        </w:rPr>
        <w:t xml:space="preserve">）</w:t>
      </w:r>
      <w:r>
        <w:rPr>
          <w:rFonts w:hint="eastAsia" w:ascii="Times New Roman" w:hAnsi="Times New Roman" w:eastAsia="宋体" w:cs="Times New Roman"/>
          <w:spacing w:val="-12"/>
          <w:sz w:val="24"/>
          <w:szCs w:val="24"/>
          <w:highlight w:val="none"/>
          <w:lang w:val="en-US" w:eastAsia="zh-CN"/>
        </w:rPr>
        <w:t xml:space="preserve">成交供应商</w:t>
      </w:r>
      <w:r>
        <w:rPr>
          <w:rFonts w:hint="eastAsia" w:ascii="Times New Roman" w:hAnsi="Times New Roman" w:eastAsia="宋体" w:cs="Times New Roman"/>
          <w:spacing w:val="-12"/>
          <w:sz w:val="24"/>
          <w:szCs w:val="24"/>
          <w:highlight w:val="none"/>
          <w:lang w:val="zh-CN" w:eastAsia="zh-CN"/>
        </w:rPr>
        <w:t xml:space="preserve">出具有效发票，采购人转帐支付到成交供应商基本帐户。</w:t>
      </w:r>
      <w:r/>
    </w:p>
    <w:p>
      <w:pPr>
        <w:pStyle w:val="781"/>
        <w:ind w:left="53"/>
        <w:keepLines w:val="0"/>
        <w:keepNext w:val="0"/>
        <w:pageBreakBefore w:val="0"/>
        <w:spacing w:line="560" w:lineRule="exact"/>
        <w:widowControl/>
        <w:rPr>
          <w:rFonts w:hint="eastAsia" w:ascii="Times New Roman" w:hAnsi="Times New Roman" w:eastAsia="宋体" w:cs="Times New Roman"/>
          <w:spacing w:val="-12"/>
          <w:sz w:val="24"/>
          <w:szCs w:val="24"/>
          <w:highlight w:val="none"/>
          <w:lang w:eastAsia="zh-CN"/>
        </w:rPr>
      </w:pPr>
      <w:r>
        <w:rPr>
          <w:rFonts w:hint="eastAsia" w:ascii="Times New Roman" w:hAnsi="Times New Roman" w:eastAsia="宋体" w:cs="Times New Roman"/>
          <w:spacing w:val="-12"/>
          <w:sz w:val="24"/>
          <w:szCs w:val="24"/>
          <w:highlight w:val="none"/>
          <w:lang w:eastAsia="zh-CN"/>
        </w:rPr>
        <w:t xml:space="preserve">（</w:t>
      </w:r>
      <w:r>
        <w:rPr>
          <w:rFonts w:hint="eastAsia" w:ascii="Times New Roman" w:hAnsi="Times New Roman" w:eastAsia="宋体" w:cs="Times New Roman"/>
          <w:spacing w:val="-12"/>
          <w:sz w:val="24"/>
          <w:szCs w:val="24"/>
          <w:highlight w:val="none"/>
          <w:lang w:val="en-US" w:eastAsia="zh-CN"/>
        </w:rPr>
        <w:t xml:space="preserve">4</w:t>
      </w:r>
      <w:r>
        <w:rPr>
          <w:rFonts w:hint="eastAsia" w:ascii="Times New Roman" w:hAnsi="Times New Roman" w:eastAsia="宋体" w:cs="Times New Roman"/>
          <w:spacing w:val="-12"/>
          <w:sz w:val="24"/>
          <w:szCs w:val="24"/>
          <w:highlight w:val="none"/>
          <w:lang w:eastAsia="zh-CN"/>
        </w:rPr>
        <w:t xml:space="preserve">）</w:t>
      </w:r>
      <w:r>
        <w:rPr>
          <w:rFonts w:hint="eastAsia" w:ascii="Times New Roman" w:hAnsi="Times New Roman" w:eastAsia="宋体" w:cs="Times New Roman"/>
          <w:spacing w:val="-12"/>
          <w:sz w:val="24"/>
          <w:szCs w:val="24"/>
          <w:highlight w:val="none"/>
          <w:lang w:val="en-US" w:eastAsia="zh-CN"/>
        </w:rPr>
        <w:t xml:space="preserve">成交供应商</w:t>
      </w:r>
      <w:r>
        <w:rPr>
          <w:rFonts w:hint="eastAsia" w:ascii="Times New Roman" w:hAnsi="Times New Roman" w:eastAsia="宋体" w:cs="Times New Roman"/>
          <w:spacing w:val="-12"/>
          <w:sz w:val="24"/>
          <w:szCs w:val="24"/>
          <w:highlight w:val="none"/>
          <w:lang w:eastAsia="zh-CN"/>
        </w:rPr>
        <w:t xml:space="preserve">凭以下有效文件与采购人结算：</w:t>
      </w:r>
      <w:r>
        <w:rPr>
          <w:rFonts w:hint="eastAsia" w:ascii="Times New Roman" w:hAnsi="Times New Roman" w:eastAsia="宋体" w:cs="Times New Roman"/>
          <w:spacing w:val="-12"/>
          <w:sz w:val="24"/>
          <w:szCs w:val="24"/>
          <w:highlight w:val="none"/>
          <w:lang w:val="zh-CN" w:eastAsia="zh-CN"/>
        </w:rPr>
        <w:t xml:space="preserve">1）成交供应商开具的正式发票；2）</w:t>
      </w:r>
      <w:r>
        <w:rPr>
          <w:rFonts w:hint="eastAsia" w:ascii="Times New Roman" w:hAnsi="Times New Roman" w:eastAsia="宋体" w:cs="Times New Roman"/>
          <w:spacing w:val="-12"/>
          <w:sz w:val="24"/>
          <w:szCs w:val="24"/>
          <w:highlight w:val="none"/>
          <w:lang w:eastAsia="zh-CN"/>
        </w:rPr>
        <w:t xml:space="preserve">车辆租赁数</w:t>
      </w:r>
      <w:r>
        <w:rPr>
          <w:rFonts w:hint="eastAsia" w:ascii="Times New Roman" w:hAnsi="Times New Roman" w:eastAsia="宋体" w:cs="Times New Roman"/>
          <w:spacing w:val="-12"/>
          <w:sz w:val="24"/>
          <w:szCs w:val="24"/>
          <w:highlight w:val="none"/>
          <w:lang w:val="zh-CN" w:eastAsia="zh-CN"/>
        </w:rPr>
        <w:t xml:space="preserve">量清单确认表。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第十条  违约责任</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1.甲方无正当理由拒收服务、拒付服务款的，甲方向乙方偿付合同总价的5%违约金。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2.甲方未按合同规定的期限向乙方支付服务款的，每逾期 1 天甲方向乙方偿付欠款总额的5‰滞纳金，但累计滞纳金总额不超过欠款总额的5%。</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3.甲方逾期退还履约保证金的，除应当退还履约保证金本金外，还应当按中国人民银行同期贷款基准利率上浮 20%后的利率支付超期资金占用费，但因乙方自身原因导致无法及时退还的除外。</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4.如乙方不能交付服务的，甲方有权扣留全部履约保证金；同时乙方应向甲方支付合同总价 5%的违约金。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5.乙方逾期交付的，每逾期 1 天，乙方向甲方偿付合同总额的 5‰的滞纳金。如乙方逾期交付达 10 天，甲方有权解除合同，解除合同的通知自到达乙方时生效。</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6.乙方所交付的服务不符合合同规定的，甲方有权拒收。甲方拒收的，乙方应向甲方支付合同总款 5%的违约金。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7.在乙方承诺的或国家规定的质量保证期内（取两者中最长的期限），如经乙方两次整改仍不能达到合同约定的质量标准，乙方应退回全部合同价款，并按本条第 3 款处理，同时，乙方还须赔偿甲方因此遭受的损失。</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8.乙方未按本合同的规定和服务承诺提供伴随服务/售后服务的，应按合同总价款的 5%向甲方承担违约责任。</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9.乙方在承担上述 4-8款一项或多项违约责任后，仍应继续履行合同规定的义务（甲方解除合同的除外）。甲方未能及时追究乙方的任何一项违约责任并不表明甲方放弃追究乙方该项或其他违约责任。</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10.乙方响应属虚假承诺，或经权威部门检测提供的服务不能满足投标（响应）文件要求，或是由于乙方的过错造成合同无法继续履行的，乙方履约保证金不予退还外，还应向甲方支付不少于合同总价 30%赔偿金。</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第十一条  合同的变更和终止</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1.除《中华人民共和国政府采购法》第 50 条规定的情形外，本合同一经签订，甲乙双方不得擅自变更、中止或终止。</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2.除发生法律规定的不能预见、不能避免并不能克服的客观情况外，甲乙双方不得放弃或拒绝履行合同。乙方放弃或拒绝履行合同，履约保证金不予退还，并按规定接受相关部门的处罚。</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第十二条  合同的转让</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乙方不得擅自部分或全部转让其应履行的合同义务。</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第十三条  争议的解决</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1.因服务的质量问题发生争议的，应当邀请国家认可的质量检测机构对服务质量进行鉴定。符合标准的，鉴定费由甲方承担；不符合标准的，鉴定费由乙方承担。</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2.因履行本合同引起的或与本合同有关的争议，甲、乙双方应首先通过友好协商解决，如果协商不能解决争议，则采取以下第</w:t>
      </w:r>
      <w:r>
        <w:rPr>
          <w:rFonts w:hint="eastAsia"/>
          <w:spacing w:val="-12"/>
          <w:sz w:val="24"/>
          <w:szCs w:val="24"/>
          <w:highlight w:val="none"/>
          <w:u w:val="single"/>
          <w:lang w:eastAsia="zh-CN"/>
        </w:rPr>
        <w:t xml:space="preserve"> 1 </w:t>
      </w:r>
      <w:r>
        <w:rPr>
          <w:rFonts w:hint="eastAsia"/>
          <w:spacing w:val="-12"/>
          <w:sz w:val="24"/>
          <w:szCs w:val="24"/>
          <w:highlight w:val="none"/>
          <w:lang w:eastAsia="zh-CN"/>
        </w:rPr>
        <w:t xml:space="preserve">种方式解决争议：</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（1）向甲方所在地有管辖权的人民法院提起诉讼；</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（2）向南京仲裁委员会按其仲裁规则申请仲裁。</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3.仲裁期间本合同应继续履行。</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第十四条  诚实信用</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乙方应诚实信用，严格按照招标（采购）文件要求和投标（响应）承诺履行合同，不向甲方进行商业贿赂或者提供不正当利益。</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第十五条  合同生效及其他</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1.本合同一式肆份，甲乙双方各执贰份。</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2.本合同按照中华人民共和国的现行法律进行解释。</w:t>
      </w:r>
      <w:r/>
    </w:p>
    <w:p>
      <w:pPr>
        <w:pStyle w:val="78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val="en-US" w:eastAsia="zh-CN"/>
        </w:rPr>
        <w:t xml:space="preserve">3</w:t>
      </w:r>
      <w:r>
        <w:rPr>
          <w:rFonts w:hint="eastAsia"/>
          <w:spacing w:val="-12"/>
          <w:sz w:val="24"/>
          <w:szCs w:val="24"/>
          <w:highlight w:val="none"/>
          <w:lang w:eastAsia="zh-CN"/>
        </w:rPr>
        <w:t xml:space="preserve">.其他：履约考核要求：参照磋商文件采购需求中考核标准。</w:t>
      </w:r>
      <w:r/>
    </w:p>
    <w:p>
      <w:pPr>
        <w:spacing w:before="26"/>
        <w:rPr>
          <w:highlight w:val="none"/>
        </w:rPr>
      </w:pPr>
      <w:r>
        <w:rPr>
          <w:highlight w:val="none"/>
        </w:rPr>
      </w:r>
      <w:r/>
    </w:p>
    <w:tbl>
      <w:tblPr>
        <w:tblStyle w:val="1066"/>
        <w:tblW w:w="64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220"/>
        <w:gridCol w:w="3221"/>
      </w:tblGrid>
      <w:tr>
        <w:trPr>
          <w:trHeight w:val="600"/>
        </w:trPr>
        <w:tc>
          <w:tcPr>
            <w:tcW w:w="3220" w:type="dxa"/>
            <w:vAlign w:val="top"/>
            <w:textDirection w:val="lrTb"/>
            <w:noWrap w:val="false"/>
          </w:tcPr>
          <w:p>
            <w:pPr>
              <w:pStyle w:val="1074"/>
              <w:ind w:left="31"/>
              <w:spacing w:before="1" w:line="218" w:lineRule="auto"/>
              <w:rPr>
                <w:sz w:val="24"/>
                <w:szCs w:val="24"/>
                <w:highlight w:val="none"/>
              </w:rPr>
            </w:pPr>
            <w:r>
              <w:rPr>
                <w:spacing w:val="-12"/>
                <w:sz w:val="24"/>
                <w:szCs w:val="24"/>
                <w:highlight w:val="none"/>
              </w:rPr>
              <w:t xml:space="preserve">甲方（采购人</w:t>
            </w:r>
            <w:r>
              <w:rPr>
                <w:spacing w:val="-5"/>
                <w:sz w:val="24"/>
                <w:szCs w:val="24"/>
                <w:highlight w:val="none"/>
              </w:rPr>
              <w:t xml:space="preserve">）：</w:t>
            </w:r>
            <w:r/>
          </w:p>
        </w:tc>
        <w:tc>
          <w:tcPr>
            <w:tcW w:w="3221" w:type="dxa"/>
            <w:vAlign w:val="top"/>
            <w:textDirection w:val="lrTb"/>
            <w:noWrap w:val="false"/>
          </w:tcPr>
          <w:p>
            <w:pPr>
              <w:pStyle w:val="1074"/>
              <w:jc w:val="right"/>
              <w:spacing w:before="1" w:line="218" w:lineRule="auto"/>
              <w:rPr>
                <w:sz w:val="24"/>
                <w:szCs w:val="24"/>
                <w:highlight w:val="none"/>
              </w:rPr>
            </w:pPr>
            <w:r>
              <w:rPr>
                <w:spacing w:val="-26"/>
                <w:sz w:val="24"/>
                <w:szCs w:val="24"/>
                <w:highlight w:val="none"/>
              </w:rPr>
              <w:t xml:space="preserve">乙方（供应商</w:t>
            </w:r>
            <w:r>
              <w:rPr>
                <w:spacing w:val="-23"/>
                <w:sz w:val="24"/>
                <w:szCs w:val="24"/>
                <w:highlight w:val="none"/>
              </w:rPr>
              <w:t xml:space="preserve">）：</w:t>
            </w:r>
            <w:r/>
          </w:p>
        </w:tc>
      </w:tr>
      <w:tr>
        <w:trPr>
          <w:trHeight w:val="728"/>
        </w:trPr>
        <w:tc>
          <w:tcPr>
            <w:tcW w:w="3220" w:type="dxa"/>
            <w:vAlign w:val="top"/>
            <w:textDirection w:val="lrTb"/>
            <w:noWrap w:val="false"/>
          </w:tcPr>
          <w:p>
            <w:pPr>
              <w:spacing w:line="281" w:lineRule="auto"/>
              <w:rPr>
                <w:highlight w:val="none"/>
              </w:rPr>
            </w:pPr>
            <w:r>
              <w:rPr>
                <w:highlight w:val="none"/>
              </w:rPr>
            </w:r>
            <w:r/>
          </w:p>
          <w:p>
            <w:pPr>
              <w:pStyle w:val="1074"/>
              <w:ind w:left="7"/>
              <w:spacing w:before="78" w:line="219" w:lineRule="auto"/>
              <w:rPr>
                <w:sz w:val="24"/>
                <w:szCs w:val="24"/>
                <w:highlight w:val="none"/>
              </w:rPr>
            </w:pPr>
            <w:r>
              <w:rPr>
                <w:spacing w:val="-6"/>
                <w:sz w:val="24"/>
                <w:szCs w:val="24"/>
                <w:highlight w:val="none"/>
              </w:rPr>
              <w:t xml:space="preserve">（盖章）</w:t>
            </w:r>
            <w:r/>
          </w:p>
        </w:tc>
        <w:tc>
          <w:tcPr>
            <w:tcW w:w="3221" w:type="dxa"/>
            <w:vAlign w:val="top"/>
            <w:textDirection w:val="lrTb"/>
            <w:noWrap w:val="false"/>
          </w:tcPr>
          <w:p>
            <w:pPr>
              <w:spacing w:line="281" w:lineRule="auto"/>
              <w:rPr>
                <w:highlight w:val="none"/>
              </w:rPr>
            </w:pPr>
            <w:r>
              <w:rPr>
                <w:highlight w:val="none"/>
              </w:rPr>
            </w:r>
            <w:r/>
          </w:p>
          <w:p>
            <w:pPr>
              <w:pStyle w:val="1074"/>
              <w:ind w:left="1488"/>
              <w:spacing w:before="78" w:line="219" w:lineRule="auto"/>
              <w:rPr>
                <w:sz w:val="24"/>
                <w:szCs w:val="24"/>
                <w:highlight w:val="none"/>
              </w:rPr>
            </w:pPr>
            <w:r>
              <w:rPr>
                <w:spacing w:val="-6"/>
                <w:sz w:val="24"/>
                <w:szCs w:val="24"/>
                <w:highlight w:val="none"/>
              </w:rPr>
              <w:t xml:space="preserve">（盖章）</w:t>
            </w:r>
            <w:r/>
          </w:p>
        </w:tc>
      </w:tr>
      <w:tr>
        <w:trPr>
          <w:trHeight w:val="495"/>
        </w:trPr>
        <w:tc>
          <w:tcPr>
            <w:tcW w:w="3220" w:type="dxa"/>
            <w:vAlign w:val="top"/>
            <w:textDirection w:val="lrTb"/>
            <w:noWrap w:val="false"/>
          </w:tcPr>
          <w:p>
            <w:pPr>
              <w:pStyle w:val="1074"/>
              <w:spacing w:before="127" w:line="220" w:lineRule="auto"/>
              <w:rPr>
                <w:sz w:val="24"/>
                <w:szCs w:val="24"/>
                <w:highlight w:val="none"/>
              </w:rPr>
            </w:pPr>
            <w:r>
              <w:rPr>
                <w:spacing w:val="-12"/>
                <w:sz w:val="24"/>
                <w:szCs w:val="24"/>
                <w:highlight w:val="none"/>
              </w:rPr>
              <w:t xml:space="preserve">代表人：</w:t>
            </w:r>
            <w:r/>
          </w:p>
        </w:tc>
        <w:tc>
          <w:tcPr>
            <w:tcW w:w="3221" w:type="dxa"/>
            <w:vAlign w:val="top"/>
            <w:textDirection w:val="lrTb"/>
            <w:noWrap w:val="false"/>
          </w:tcPr>
          <w:p>
            <w:pPr>
              <w:pStyle w:val="1074"/>
              <w:ind w:left="1481" w:firstLine="216"/>
              <w:spacing w:before="127" w:line="220" w:lineRule="auto"/>
              <w:rPr>
                <w:sz w:val="24"/>
                <w:szCs w:val="24"/>
                <w:highlight w:val="none"/>
              </w:rPr>
            </w:pPr>
            <w:r>
              <w:rPr>
                <w:spacing w:val="-12"/>
                <w:sz w:val="24"/>
                <w:szCs w:val="24"/>
                <w:highlight w:val="none"/>
              </w:rPr>
              <w:t xml:space="preserve">代表人：</w:t>
            </w:r>
            <w:r/>
          </w:p>
        </w:tc>
      </w:tr>
      <w:tr>
        <w:trPr>
          <w:trHeight w:val="503"/>
        </w:trPr>
        <w:tc>
          <w:tcPr>
            <w:tcW w:w="3220" w:type="dxa"/>
            <w:vAlign w:val="top"/>
            <w:textDirection w:val="lrTb"/>
            <w:noWrap w:val="false"/>
          </w:tcPr>
          <w:p>
            <w:pPr>
              <w:pStyle w:val="1074"/>
              <w:ind w:left="29"/>
              <w:spacing w:before="128" w:line="222" w:lineRule="auto"/>
              <w:rPr>
                <w:sz w:val="24"/>
                <w:szCs w:val="24"/>
                <w:highlight w:val="none"/>
              </w:rPr>
            </w:pPr>
            <w:r>
              <w:rPr>
                <w:spacing w:val="-21"/>
                <w:sz w:val="24"/>
                <w:szCs w:val="24"/>
                <w:highlight w:val="none"/>
              </w:rPr>
              <w:t xml:space="preserve">电话：</w:t>
            </w:r>
            <w:r/>
          </w:p>
        </w:tc>
        <w:tc>
          <w:tcPr>
            <w:tcW w:w="3221" w:type="dxa"/>
            <w:vAlign w:val="top"/>
            <w:textDirection w:val="lrTb"/>
            <w:noWrap w:val="false"/>
          </w:tcPr>
          <w:p>
            <w:pPr>
              <w:pStyle w:val="1074"/>
              <w:ind w:left="1510" w:firstLine="198"/>
              <w:spacing w:before="128" w:line="222" w:lineRule="auto"/>
              <w:rPr>
                <w:sz w:val="24"/>
                <w:szCs w:val="24"/>
                <w:highlight w:val="none"/>
              </w:rPr>
            </w:pPr>
            <w:r>
              <w:rPr>
                <w:spacing w:val="-21"/>
                <w:sz w:val="24"/>
                <w:szCs w:val="24"/>
                <w:highlight w:val="none"/>
              </w:rPr>
              <w:t xml:space="preserve">电话：</w:t>
            </w:r>
            <w:r/>
          </w:p>
        </w:tc>
      </w:tr>
      <w:tr>
        <w:trPr>
          <w:trHeight w:val="503"/>
        </w:trPr>
        <w:tc>
          <w:tcPr>
            <w:tcW w:w="3220" w:type="dxa"/>
            <w:vAlign w:val="top"/>
            <w:textDirection w:val="lrTb"/>
            <w:noWrap w:val="false"/>
          </w:tcPr>
          <w:p>
            <w:pPr>
              <w:pStyle w:val="1074"/>
              <w:ind w:left="1"/>
              <w:spacing w:before="136" w:line="220" w:lineRule="auto"/>
              <w:rPr>
                <w:sz w:val="24"/>
                <w:szCs w:val="24"/>
                <w:highlight w:val="none"/>
              </w:rPr>
            </w:pPr>
            <w:r>
              <w:rPr>
                <w:spacing w:val="-11"/>
                <w:sz w:val="24"/>
                <w:szCs w:val="24"/>
                <w:highlight w:val="none"/>
              </w:rPr>
              <w:t xml:space="preserve">开户银行：</w:t>
            </w:r>
            <w:r/>
          </w:p>
        </w:tc>
        <w:tc>
          <w:tcPr>
            <w:tcW w:w="3221" w:type="dxa"/>
            <w:vAlign w:val="top"/>
            <w:textDirection w:val="lrTb"/>
            <w:noWrap w:val="false"/>
          </w:tcPr>
          <w:p>
            <w:pPr>
              <w:pStyle w:val="1074"/>
              <w:ind w:left="1483" w:firstLine="218"/>
              <w:spacing w:before="136" w:line="220" w:lineRule="auto"/>
              <w:rPr>
                <w:sz w:val="24"/>
                <w:szCs w:val="24"/>
                <w:highlight w:val="none"/>
              </w:rPr>
            </w:pPr>
            <w:r>
              <w:rPr>
                <w:spacing w:val="-11"/>
                <w:sz w:val="24"/>
                <w:szCs w:val="24"/>
                <w:highlight w:val="none"/>
              </w:rPr>
              <w:t xml:space="preserve">开户银行：</w:t>
            </w:r>
            <w:r/>
          </w:p>
        </w:tc>
      </w:tr>
      <w:tr>
        <w:trPr>
          <w:trHeight w:val="368"/>
        </w:trPr>
        <w:tc>
          <w:tcPr>
            <w:tcW w:w="3220" w:type="dxa"/>
            <w:vAlign w:val="top"/>
            <w:textDirection w:val="lrTb"/>
            <w:noWrap w:val="false"/>
          </w:tcPr>
          <w:p>
            <w:pPr>
              <w:pStyle w:val="1074"/>
              <w:ind w:left="4"/>
              <w:spacing w:before="129" w:line="176" w:lineRule="auto"/>
              <w:rPr>
                <w:sz w:val="24"/>
                <w:szCs w:val="24"/>
                <w:highlight w:val="none"/>
              </w:rPr>
            </w:pPr>
            <w:r>
              <w:rPr>
                <w:spacing w:val="-15"/>
                <w:sz w:val="24"/>
                <w:szCs w:val="24"/>
                <w:highlight w:val="none"/>
              </w:rPr>
              <w:t xml:space="preserve">账号：</w:t>
            </w:r>
            <w:r/>
          </w:p>
        </w:tc>
        <w:tc>
          <w:tcPr>
            <w:tcW w:w="3221" w:type="dxa"/>
            <w:vAlign w:val="top"/>
            <w:textDirection w:val="lrTb"/>
            <w:noWrap w:val="false"/>
          </w:tcPr>
          <w:p>
            <w:pPr>
              <w:pStyle w:val="1074"/>
              <w:ind w:left="1485" w:firstLine="210"/>
              <w:spacing w:before="129" w:line="176" w:lineRule="auto"/>
              <w:rPr>
                <w:sz w:val="24"/>
                <w:szCs w:val="24"/>
                <w:highlight w:val="none"/>
              </w:rPr>
            </w:pPr>
            <w:r>
              <w:rPr>
                <w:spacing w:val="-15"/>
                <w:sz w:val="24"/>
                <w:szCs w:val="24"/>
                <w:highlight w:val="none"/>
              </w:rPr>
              <w:t xml:space="preserve">账号：</w:t>
            </w:r>
            <w:r/>
          </w:p>
        </w:tc>
      </w:tr>
    </w:tbl>
    <w:p>
      <w:pPr>
        <w:rPr>
          <w:rFonts w:hint="eastAsia"/>
          <w:highlight w:val="none"/>
          <w:lang w:val="en-US" w:eastAsia="zh-CN"/>
        </w:rPr>
      </w:pPr>
      <w:r>
        <w:rPr>
          <w:rFonts w:hint="eastAsia"/>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t xml:space="preserve">签订时间：</w:t>
      </w:r>
      <w:r/>
    </w:p>
    <w:p>
      <w:pPr>
        <w:pStyle w:val="989"/>
        <w:ind w:firstLine="480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36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w:t>
      </w:r>
      <w:r>
        <w:rPr>
          <w:rFonts w:hint="eastAsia" w:ascii="宋体" w:hAnsi="宋体" w:eastAsia="宋体" w:cs="Times New Roman"/>
          <w:b/>
          <w:bCs w:val="0"/>
          <w:sz w:val="30"/>
          <w:szCs w:val="21"/>
          <w:highlight w:val="none"/>
          <w:lang w:val="en-US" w:eastAsia="zh-CN"/>
        </w:rPr>
        <w:t xml:space="preserve">江浦街道年度乘用车租赁服务</w:t>
      </w:r>
      <w:r>
        <w:rPr>
          <w:rFonts w:hint="eastAsia" w:ascii="宋体" w:hAnsi="宋体" w:eastAsia="宋体" w:cs="Times New Roman"/>
          <w:b/>
          <w:bCs w:val="0"/>
          <w:sz w:val="30"/>
          <w:szCs w:val="21"/>
          <w:highlight w:val="none"/>
        </w:rPr>
        <w:t xml:space="preserve">合同》补充协议（合同附件）</w:t>
      </w:r>
      <w:r/>
    </w:p>
    <w:p>
      <w:pPr>
        <w:pStyle w:val="989"/>
        <w:jc w:val="left"/>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p>
    <w:p>
      <w:pPr>
        <w:rPr>
          <w:rFonts w:hint="eastAsia" w:hAnsi="宋体"/>
          <w:color w:val="000000"/>
          <w:sz w:val="24"/>
          <w:szCs w:val="24"/>
          <w:highlight w:val="none"/>
        </w:rPr>
      </w:pPr>
      <w:r>
        <w:rPr>
          <w:rFonts w:hint="eastAsia" w:hAnsi="宋体"/>
          <w:color w:val="000000"/>
          <w:sz w:val="24"/>
          <w:szCs w:val="24"/>
          <w:highlight w:val="none"/>
        </w:rPr>
        <w:br w:type="page" w:clear="all"/>
      </w:r>
      <w:r/>
    </w:p>
    <w:p>
      <w:pPr>
        <w:jc w:val="cente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附件：江浦街道执法车租赁服务考核办法</w:t>
      </w:r>
      <w:r/>
    </w:p>
    <w:p>
      <w:pPr>
        <w:ind w:firstLine="480"/>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规范执法车租赁服务管理，提升服务质量，确保租赁车辆在安全、高效、环保的前提下满足执法需求，特制定本考核办法</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一、考核原则</w:t>
      </w:r>
      <w:r/>
    </w:p>
    <w:p>
      <w:pPr>
        <w:ind w:firstLine="480"/>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考核工作遵循公开、公平、公正的原则，对租赁车辆在考核年度内服务质量、紧急响应能力、用户满意度、合同管理等方面的表现等方面进行记录与评价。</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二、考核对象</w:t>
      </w:r>
      <w:r/>
    </w:p>
    <w:p>
      <w:pPr>
        <w:ind w:firstLine="480"/>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江浦街道执法车租赁服务</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三、考核内容</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（一） 服务质量评估（25分）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 车辆状况评估：定期检查租赁车辆的外观、内饰、机械性能及维修保养记录，确保车辆整洁、完好、符合安全行驶标准。不符合一项扣2分。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 服务响应速度：评估租赁公司接到服务请求后的响应时间和处理能力，确保快速响应执法部门的用车需求。不在规定时间内响应的发现一次扣1分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（二）应急响应能力（25分）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 应急预案：要求租赁公司制定完善的车辆故障、事故处理等应急预案，并定期进行演练。不符合要求的扣1分。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 快速替代方案：在车辆发生故障或事故时，租赁公司应能提供快速替代车辆，确保执法工作不受影响。不能及时响应的一次扣1分。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（三）用户满意度（25分）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 定期调查：通过面谈等方式，定期收集执法部门对租赁服务的满意度反馈。</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 问题整改：针对提出的意见和建议，租赁公司应积极响应并制定整改措施，持续改进服务质量。不响应发现一次扣5分。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（四）合同管理与履行（25分）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 合同规范：租赁合同应明确双方的权利和义务，包括车辆型号、租赁期限、租金标准、违约责任等条款。</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 合同执行：双方应严格履行合同规定，确保租赁服务的顺利进行。</w:t>
      </w:r>
      <w:r/>
    </w:p>
    <w:p>
      <w:pPr>
        <w:jc w:val="left"/>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rPr>
        <w:t xml:space="preserve">3. 纠纷处理：建立有效的纠纷解决机制，快速处理合同履行过程中出现的争议和问题。以上不符合发现一次扣5分。</w:t>
      </w:r>
      <w:bookmarkEnd w:id="0"/>
      <w:r/>
      <w:bookmarkEnd w:id="1"/>
      <w:r/>
      <w:bookmarkEnd w:id="2"/>
      <w:r/>
      <w:bookmarkEnd w:id="3"/>
      <w:r/>
      <w:bookmarkEnd w:id="4"/>
      <w:r/>
      <w:bookmarkEnd w:id="5"/>
      <w:r/>
      <w:bookmarkStart w:id="10" w:name="_Hlt16619350"/>
      <w:r/>
      <w:bookmarkStart w:id="11" w:name="_Toc16938590"/>
      <w:r/>
      <w:bookmarkStart w:id="12" w:name="_Toc20823346"/>
      <w:r/>
      <w:bookmarkStart w:id="13" w:name="_Toc120614244"/>
      <w:r/>
      <w:r/>
      <w:r>
        <w:rPr>
          <w:rFonts w:hint="eastAsia" w:ascii="宋体" w:hAnsi="宋体" w:eastAsia="宋体" w:cs="Courier New"/>
          <w:color w:val="000000"/>
          <w:sz w:val="24"/>
          <w:szCs w:val="24"/>
          <w:highlight w:val="none"/>
          <w:lang w:val="en-US" w:eastAsia="zh-CN" w:bidi="ar-SA"/>
        </w:rPr>
        <w:br w:type="page" w:clear="all"/>
      </w:r>
      <w:bookmarkEnd w:id="10"/>
      <w:r/>
      <w:bookmarkEnd w:id="11"/>
      <w:r/>
      <w:bookmarkEnd w:id="12"/>
      <w:r/>
      <w:bookmarkEnd w:id="13"/>
      <w:r/>
      <w:bookmarkStart w:id="16" w:name="_Toc26554093"/>
      <w:r/>
      <w:bookmarkStart w:id="17" w:name="_Toc49090575"/>
      <w:r/>
      <w:r/>
    </w:p>
    <w:p>
      <w:pPr>
        <w:jc w:val="center"/>
        <w:keepLines w:val="0"/>
        <w:keepNext w:val="0"/>
        <w:pageBreakBefore w:val="0"/>
        <w:spacing w:before="0" w:after="0" w:line="360" w:lineRule="auto"/>
        <w:widowControl w:val="off"/>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bookmarkStart w:id="18" w:name="_Toc120614281"/>
      <w:r>
        <w:rPr>
          <w:rFonts w:hint="eastAsia" w:ascii="宋体" w:hAnsi="宋体" w:eastAsia="宋体" w:cs="Times New Roman"/>
          <w:color w:val="000000"/>
          <w:sz w:val="24"/>
          <w:szCs w:val="24"/>
        </w:rPr>
        <w:t xml:space="preserve">一、项目属性：</w:t>
      </w:r>
      <w:r>
        <w:rPr>
          <w:rFonts w:hint="eastAsia" w:ascii="宋体" w:hAnsi="宋体" w:eastAsia="宋体" w:cs="Times New Roman"/>
          <w:color w:val="000000"/>
          <w:sz w:val="24"/>
          <w:szCs w:val="24"/>
          <w:lang w:val="en-US" w:eastAsia="zh-CN"/>
        </w:rPr>
        <w:t xml:space="preserve">租赁和商务服务业</w:t>
      </w:r>
      <w:r>
        <w:rPr>
          <w:rFonts w:hint="eastAsia" w:ascii="宋体" w:hAnsi="宋体" w:eastAsia="宋体" w:cs="Times New Roman"/>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二、项目背景</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bookmarkStart w:id="19" w:name="_Toc21412"/>
      <w:r>
        <w:rPr>
          <w:rFonts w:hint="eastAsia" w:ascii="宋体" w:hAnsi="宋体" w:eastAsia="宋体" w:cs="Times New Roman"/>
          <w:color w:val="000000"/>
          <w:sz w:val="24"/>
          <w:szCs w:val="24"/>
        </w:rPr>
        <w:t xml:space="preserve">为满足街道城市管理、综合执法及警巡工作用车需要，现对外招标租赁行政执法车辆。</w:t>
      </w:r>
      <w:bookmarkEnd w:id="19"/>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三、采购清单</w:t>
      </w:r>
      <w:r/>
    </w:p>
    <w:tbl>
      <w:tblPr>
        <w:tblStyle w:val="1066"/>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2"/>
        <w:gridCol w:w="1507"/>
        <w:gridCol w:w="870"/>
        <w:gridCol w:w="922"/>
        <w:gridCol w:w="1358"/>
        <w:gridCol w:w="845"/>
        <w:gridCol w:w="1095"/>
        <w:gridCol w:w="1344"/>
        <w:gridCol w:w="868"/>
      </w:tblGrid>
      <w:tr>
        <w:trPr>
          <w:trHeight w:val="811"/>
        </w:trPr>
        <w:tc>
          <w:tcPr>
            <w:tcW w:w="772"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1507"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名称</w:t>
            </w:r>
            <w:r/>
          </w:p>
        </w:tc>
        <w:tc>
          <w:tcPr>
            <w:tcW w:w="870"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数量</w:t>
            </w:r>
            <w:r/>
          </w:p>
        </w:tc>
        <w:tc>
          <w:tcPr>
            <w:tcW w:w="922"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单位</w:t>
            </w:r>
            <w:r/>
          </w:p>
        </w:tc>
        <w:tc>
          <w:tcPr>
            <w:tcW w:w="1358"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最高限价</w:t>
            </w:r>
            <w:r/>
          </w:p>
        </w:tc>
        <w:tc>
          <w:tcPr>
            <w:tcW w:w="845"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是否接受进口</w:t>
            </w:r>
            <w:r/>
          </w:p>
        </w:tc>
        <w:tc>
          <w:tcPr>
            <w:tcW w:w="1095"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产品类型</w:t>
            </w:r>
            <w:r/>
          </w:p>
        </w:tc>
        <w:tc>
          <w:tcPr>
            <w:tcW w:w="1344"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所属类型</w:t>
            </w:r>
            <w:r/>
          </w:p>
        </w:tc>
        <w:tc>
          <w:tcPr>
            <w:tcW w:w="868"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类型</w:t>
            </w:r>
            <w:r/>
          </w:p>
        </w:tc>
      </w:tr>
      <w:tr>
        <w:trPr>
          <w:trHeight w:val="90"/>
        </w:trPr>
        <w:tc>
          <w:tcPr>
            <w:tcW w:w="772"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507"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江浦街道年度乘用车租赁服务</w:t>
            </w:r>
            <w:r/>
          </w:p>
        </w:tc>
        <w:tc>
          <w:tcPr>
            <w:tcW w:w="870"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922"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w:t>
            </w:r>
            <w:r/>
          </w:p>
        </w:tc>
        <w:tc>
          <w:tcPr>
            <w:tcW w:w="1358"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125.28万元</w:t>
            </w:r>
            <w:r/>
          </w:p>
        </w:tc>
        <w:tc>
          <w:tcPr>
            <w:tcW w:w="845"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否</w:t>
            </w:r>
            <w:r/>
          </w:p>
        </w:tc>
        <w:tc>
          <w:tcPr>
            <w:tcW w:w="1095"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w:t>
            </w:r>
            <w:r/>
          </w:p>
        </w:tc>
        <w:tc>
          <w:tcPr>
            <w:tcW w:w="1344"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租赁和商务服务业</w:t>
            </w:r>
            <w:r/>
          </w:p>
        </w:tc>
        <w:tc>
          <w:tcPr>
            <w:tcW w:w="868"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w:t>
            </w:r>
            <w:r/>
          </w:p>
        </w:tc>
      </w:tr>
    </w:tbl>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pPr>
      <w:r/>
      <w:bookmarkStart w:id="20" w:name="_Toc171953462"/>
      <w:r/>
      <w:r/>
    </w:p>
    <w:p>
      <w:pPr>
        <w:numPr>
          <w:ilvl w:val="0"/>
          <w:numId w:val="7"/>
        </w:numPr>
        <w:ind w:firstLine="480"/>
        <w:keepLines w:val="0"/>
        <w:keepNext w:val="0"/>
        <w:pageBreakBefore w:val="0"/>
        <w:spacing w:line="360" w:lineRule="auto"/>
        <w:widowControl w:val="off"/>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t xml:space="preserve">车辆需求清单：</w:t>
      </w:r>
      <w:r/>
    </w:p>
    <w:tbl>
      <w:tblPr>
        <w:tblStyle w:val="776"/>
        <w:tblW w:w="9537"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6"/>
        <w:gridCol w:w="4232"/>
        <w:gridCol w:w="1631"/>
        <w:gridCol w:w="1301"/>
        <w:gridCol w:w="1287"/>
      </w:tblGrid>
      <w:tr>
        <w:trPr>
          <w:trHeight w:val="737" w:hRule="exact"/>
        </w:trPr>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232"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163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130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单位</w:t>
            </w:r>
            <w:r/>
          </w:p>
        </w:tc>
      </w:tr>
      <w:tr>
        <w:trPr>
          <w:trHeight w:val="737" w:hRule="exact"/>
        </w:trPr>
        <w:tc>
          <w:tcPr>
            <w:shd w:val="clear" w:color="auto" w:fill="auto"/>
            <w:tcBorders>
              <w:top w:val="none" w:color="000000" w:sz="4" w:space="0"/>
              <w:left w:val="single" w:color="auto" w:sz="4" w:space="0"/>
              <w:bottom w:val="single" w:color="auto" w:sz="4" w:space="0"/>
              <w:right w:val="single" w:color="auto" w:sz="4" w:space="0"/>
            </w:tcBorders>
            <w:tcW w:w="1086"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2"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eastAsia="zh-CN"/>
              </w:rPr>
              <w:t xml:space="preserve">11座</w:t>
            </w:r>
            <w:bookmarkStart w:id="21" w:name="OLE_LINK1"/>
            <w:r>
              <w:rPr>
                <w:rFonts w:hint="eastAsia" w:ascii="宋体" w:hAnsi="宋体" w:cs="Times New Roman"/>
                <w:color w:val="000000"/>
                <w:sz w:val="24"/>
                <w:szCs w:val="24"/>
                <w:lang w:val="en-US" w:eastAsia="zh-CN"/>
              </w:rPr>
              <w:t xml:space="preserve">轻型商务客车</w:t>
            </w:r>
            <w:bookmarkEnd w:id="21"/>
            <w:r/>
            <w:r/>
          </w:p>
        </w:tc>
        <w:tc>
          <w:tcPr>
            <w:shd w:val="clear" w:color="auto" w:fill="auto"/>
            <w:tcBorders>
              <w:top w:val="none" w:color="000000" w:sz="4" w:space="0"/>
              <w:left w:val="none" w:color="000000" w:sz="4" w:space="0"/>
              <w:bottom w:val="single" w:color="auto" w:sz="4" w:space="0"/>
              <w:right w:val="single" w:color="auto" w:sz="4" w:space="0"/>
            </w:tcBorders>
            <w:tcW w:w="163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燃油</w:t>
            </w:r>
            <w:r/>
          </w:p>
        </w:tc>
        <w:tc>
          <w:tcPr>
            <w:shd w:val="clear" w:color="auto" w:fill="auto"/>
            <w:tcBorders>
              <w:top w:val="none" w:color="000000" w:sz="4" w:space="0"/>
              <w:left w:val="none" w:color="000000" w:sz="4" w:space="0"/>
              <w:bottom w:val="single" w:color="auto" w:sz="4" w:space="0"/>
              <w:right w:val="single" w:color="auto" w:sz="4" w:space="0"/>
            </w:tcBorders>
            <w:tcW w:w="130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辆</w:t>
            </w:r>
            <w:r/>
          </w:p>
        </w:tc>
      </w:tr>
      <w:tr>
        <w:trPr>
          <w:trHeight w:val="737" w:hRule="exact"/>
        </w:trPr>
        <w:tc>
          <w:tcPr>
            <w:shd w:val="clear" w:color="auto" w:fill="auto"/>
            <w:tcBorders>
              <w:top w:val="none" w:color="000000" w:sz="4" w:space="0"/>
              <w:left w:val="single" w:color="auto" w:sz="4" w:space="0"/>
              <w:bottom w:val="single" w:color="auto" w:sz="4" w:space="0"/>
              <w:right w:val="single" w:color="auto" w:sz="4" w:space="0"/>
            </w:tcBorders>
            <w:tcW w:w="1086"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32"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17座</w:t>
            </w:r>
            <w:r>
              <w:rPr>
                <w:rFonts w:hint="eastAsia" w:ascii="宋体" w:hAnsi="宋体" w:cs="Times New Roman"/>
                <w:color w:val="000000"/>
                <w:sz w:val="24"/>
                <w:szCs w:val="24"/>
                <w:lang w:val="en-US" w:eastAsia="zh-CN"/>
              </w:rPr>
              <w:t xml:space="preserve">中型商务客车</w:t>
            </w:r>
            <w:r/>
          </w:p>
        </w:tc>
        <w:tc>
          <w:tcPr>
            <w:shd w:val="clear" w:color="auto" w:fill="auto"/>
            <w:tcBorders>
              <w:top w:val="none" w:color="000000" w:sz="4" w:space="0"/>
              <w:left w:val="none" w:color="000000" w:sz="4" w:space="0"/>
              <w:bottom w:val="single" w:color="auto" w:sz="4" w:space="0"/>
              <w:right w:val="single" w:color="auto" w:sz="4" w:space="0"/>
            </w:tcBorders>
            <w:tcW w:w="163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燃油</w:t>
            </w:r>
            <w:r/>
          </w:p>
        </w:tc>
        <w:tc>
          <w:tcPr>
            <w:shd w:val="clear" w:color="auto" w:fill="auto"/>
            <w:tcBorders>
              <w:top w:val="none" w:color="000000" w:sz="4" w:space="0"/>
              <w:left w:val="none" w:color="000000" w:sz="4" w:space="0"/>
              <w:bottom w:val="single" w:color="auto" w:sz="4" w:space="0"/>
              <w:right w:val="single" w:color="auto" w:sz="4" w:space="0"/>
            </w:tcBorders>
            <w:tcW w:w="130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辆</w:t>
            </w:r>
            <w:r/>
          </w:p>
        </w:tc>
      </w:tr>
      <w:tr>
        <w:trPr>
          <w:trHeight w:val="737" w:hRule="exact"/>
        </w:trPr>
        <w:tc>
          <w:tcPr>
            <w:shd w:val="clear" w:color="auto" w:fill="auto"/>
            <w:tcBorders>
              <w:top w:val="none" w:color="000000" w:sz="4" w:space="0"/>
              <w:left w:val="single" w:color="auto" w:sz="4" w:space="0"/>
              <w:bottom w:val="single" w:color="auto" w:sz="4" w:space="0"/>
              <w:right w:val="single" w:color="auto" w:sz="4" w:space="0"/>
            </w:tcBorders>
            <w:tcW w:w="1086"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32"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两驱皮卡</w:t>
            </w:r>
            <w:r>
              <w:rPr>
                <w:rFonts w:hint="eastAsia" w:ascii="宋体" w:hAnsi="宋体" w:cs="Times New Roman"/>
                <w:color w:val="000000"/>
                <w:sz w:val="24"/>
                <w:szCs w:val="24"/>
                <w:lang w:val="en-US" w:eastAsia="zh-CN"/>
              </w:rPr>
              <w:t xml:space="preserve">系列</w:t>
            </w:r>
            <w:r/>
          </w:p>
        </w:tc>
        <w:tc>
          <w:tcPr>
            <w:shd w:val="clear" w:color="auto" w:fill="auto"/>
            <w:tcBorders>
              <w:top w:val="none" w:color="000000" w:sz="4" w:space="0"/>
              <w:left w:val="none" w:color="000000" w:sz="4" w:space="0"/>
              <w:bottom w:val="single" w:color="auto" w:sz="4" w:space="0"/>
              <w:right w:val="single" w:color="auto" w:sz="4" w:space="0"/>
            </w:tcBorders>
            <w:tcW w:w="163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燃油</w:t>
            </w:r>
            <w:r/>
          </w:p>
        </w:tc>
        <w:tc>
          <w:tcPr>
            <w:shd w:val="clear" w:color="auto" w:fill="auto"/>
            <w:tcBorders>
              <w:top w:val="none" w:color="000000" w:sz="4" w:space="0"/>
              <w:left w:val="none" w:color="000000" w:sz="4" w:space="0"/>
              <w:bottom w:val="single" w:color="auto" w:sz="4" w:space="0"/>
              <w:right w:val="single" w:color="auto" w:sz="4" w:space="0"/>
            </w:tcBorders>
            <w:tcW w:w="130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4"/>
                <w:szCs w:val="24"/>
                <w:lang w:val="en-US"/>
              </w:rPr>
              <w:suppressLineNumbers w:val="0"/>
            </w:pPr>
            <w:r>
              <w:rPr>
                <w:rFonts w:hint="eastAsia" w:ascii="宋体" w:hAnsi="宋体" w:eastAsia="宋体" w:cs="Times New Roman"/>
                <w:color w:val="000000"/>
                <w:sz w:val="24"/>
                <w:szCs w:val="24"/>
                <w:lang w:val="en-US" w:eastAsia="zh-CN"/>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87"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辆</w:t>
            </w:r>
            <w:r/>
          </w:p>
        </w:tc>
      </w:tr>
      <w:tr>
        <w:trPr>
          <w:trHeight w:val="737" w:hRule="exact"/>
        </w:trPr>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4232"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cs="Times New Roman"/>
                <w:color w:val="000000"/>
                <w:sz w:val="24"/>
                <w:szCs w:val="24"/>
                <w:lang w:val="en-US" w:eastAsia="zh-CN"/>
              </w:rPr>
              <w:t xml:space="preserve">两座轻卡</w:t>
            </w:r>
            <w:r/>
          </w:p>
        </w:tc>
        <w:tc>
          <w:tcPr>
            <w:shd w:val="clear" w:color="auto" w:fill="auto"/>
            <w:tcBorders>
              <w:top w:val="single" w:color="auto" w:sz="4" w:space="0"/>
              <w:left w:val="none" w:color="000000" w:sz="4" w:space="0"/>
              <w:bottom w:val="single" w:color="auto" w:sz="4" w:space="0"/>
              <w:right w:val="single" w:color="auto" w:sz="4" w:space="0"/>
            </w:tcBorders>
            <w:tcW w:w="163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燃油</w:t>
            </w:r>
            <w:r/>
          </w:p>
        </w:tc>
        <w:tc>
          <w:tcPr>
            <w:shd w:val="clear" w:color="auto" w:fill="auto"/>
            <w:tcBorders>
              <w:top w:val="single" w:color="auto" w:sz="4" w:space="0"/>
              <w:left w:val="none" w:color="000000" w:sz="4" w:space="0"/>
              <w:bottom w:val="single" w:color="auto" w:sz="4" w:space="0"/>
              <w:right w:val="single" w:color="auto" w:sz="4" w:space="0"/>
            </w:tcBorders>
            <w:tcW w:w="130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辆</w:t>
            </w:r>
            <w:r/>
          </w:p>
        </w:tc>
      </w:tr>
      <w:tr>
        <w:trPr>
          <w:trHeight w:val="942" w:hRule="exact"/>
        </w:trPr>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4232"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cs="Times New Roman"/>
                <w:color w:val="000000"/>
                <w:sz w:val="24"/>
                <w:szCs w:val="24"/>
                <w:lang w:val="en-US" w:eastAsia="zh-CN"/>
              </w:rPr>
              <w:t xml:space="preserve">新能源六座小型普通客车（面包车）</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300km及以上续航</w:t>
            </w:r>
            <w:r>
              <w:rPr>
                <w:rFonts w:hint="eastAsia" w:ascii="宋体" w:hAnsi="宋体" w:eastAsia="宋体" w:cs="Times New Roman"/>
                <w:color w:val="000000"/>
                <w:sz w:val="24"/>
                <w:szCs w:val="24"/>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63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新能源</w:t>
            </w:r>
            <w:r/>
          </w:p>
        </w:tc>
        <w:tc>
          <w:tcPr>
            <w:shd w:val="clear" w:color="auto" w:fill="auto"/>
            <w:tcBorders>
              <w:top w:val="single" w:color="auto" w:sz="4" w:space="0"/>
              <w:left w:val="none" w:color="000000" w:sz="4" w:space="0"/>
              <w:bottom w:val="single" w:color="auto" w:sz="4" w:space="0"/>
              <w:right w:val="single" w:color="auto" w:sz="4" w:space="0"/>
            </w:tcBorders>
            <w:tcW w:w="130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辆</w:t>
            </w:r>
            <w:r/>
          </w:p>
        </w:tc>
      </w:tr>
      <w:tr>
        <w:trPr>
          <w:trHeight w:val="842" w:hRule="exact"/>
        </w:trPr>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4232"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cs="Times New Roman"/>
                <w:color w:val="000000"/>
                <w:sz w:val="24"/>
                <w:szCs w:val="24"/>
                <w:lang w:eastAsia="zh-CN"/>
              </w:rPr>
              <w:suppressLineNumbers w:val="0"/>
            </w:pPr>
            <w:r>
              <w:rPr>
                <w:rFonts w:hint="eastAsia" w:ascii="宋体" w:hAnsi="宋体" w:cs="Times New Roman"/>
                <w:color w:val="000000"/>
                <w:sz w:val="24"/>
                <w:szCs w:val="24"/>
                <w:lang w:eastAsia="zh-CN"/>
              </w:rPr>
              <w:t xml:space="preserve">新能源五座小型普通客车</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eastAsia="zh-CN"/>
              </w:rPr>
              <w:suppressLineNumbers w:val="0"/>
            </w:pP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400km及以上续航</w:t>
            </w:r>
            <w:r>
              <w:rPr>
                <w:rFonts w:hint="eastAsia" w:ascii="宋体" w:hAnsi="宋体" w:cs="Times New Roman"/>
                <w:color w:val="000000"/>
                <w:sz w:val="24"/>
                <w:szCs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63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新能源</w:t>
            </w:r>
            <w:r/>
          </w:p>
        </w:tc>
        <w:tc>
          <w:tcPr>
            <w:shd w:val="clear" w:color="auto" w:fill="auto"/>
            <w:tcBorders>
              <w:top w:val="single" w:color="auto" w:sz="4" w:space="0"/>
              <w:left w:val="none" w:color="000000" w:sz="4" w:space="0"/>
              <w:bottom w:val="single" w:color="auto" w:sz="4" w:space="0"/>
              <w:right w:val="single" w:color="auto" w:sz="4" w:space="0"/>
            </w:tcBorders>
            <w:tcW w:w="1301"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87"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辆</w:t>
            </w:r>
            <w:r/>
          </w:p>
        </w:tc>
      </w:tr>
    </w:tbl>
    <w:p>
      <w:pPr>
        <w:ind w:firstLine="480"/>
        <w:keepLines w:val="0"/>
        <w:keepNext w:val="0"/>
        <w:pageBreakBefore w:val="0"/>
        <w:spacing w:line="360" w:lineRule="auto"/>
        <w:widowControl w:val="off"/>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cs="Times New Roman"/>
          <w:color w:val="000000"/>
          <w:sz w:val="24"/>
          <w:szCs w:val="24"/>
          <w:lang w:val="en-US" w:eastAsia="zh-CN"/>
        </w:rPr>
        <w:t xml:space="preserve">五</w:t>
      </w:r>
      <w:r>
        <w:rPr>
          <w:rFonts w:hint="eastAsia" w:ascii="宋体" w:hAnsi="宋体" w:eastAsia="宋体" w:cs="Times New Roman"/>
          <w:color w:val="000000"/>
          <w:sz w:val="24"/>
          <w:szCs w:val="24"/>
        </w:rPr>
        <w:t xml:space="preserve">、技术参数要求</w:t>
      </w:r>
      <w:bookmarkEnd w:id="20"/>
      <w:r/>
      <w:r/>
    </w:p>
    <w:tbl>
      <w:tblPr>
        <w:tblStyle w:val="1066"/>
        <w:tblW w:w="97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2936"/>
        <w:gridCol w:w="4909"/>
      </w:tblGrid>
      <w:tr>
        <w:trPr>
          <w:trHeight w:val="502"/>
        </w:trPr>
        <w:tc>
          <w:tcPr>
            <w:tcW w:w="1927" w:type="dxa"/>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36" w:type="dxa"/>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名称</w:t>
            </w:r>
            <w:r/>
          </w:p>
        </w:tc>
        <w:tc>
          <w:tcPr>
            <w:tcW w:w="4909" w:type="dxa"/>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采购要求</w:t>
            </w:r>
            <w:r/>
          </w:p>
        </w:tc>
      </w:tr>
      <w:tr>
        <w:trPr>
          <w:trHeight w:val="624"/>
        </w:trPr>
        <w:tc>
          <w:tcPr>
            <w:tcW w:w="1927" w:type="dxa"/>
            <w:vAlign w:val="center"/>
            <w:textDirection w:val="lrTb"/>
            <w:noWrap/>
          </w:tcPr>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w:t>
            </w:r>
            <w:r/>
          </w:p>
        </w:tc>
        <w:tc>
          <w:tcPr>
            <w:tcW w:w="2936"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项目实施要求(完全响应)</w:t>
            </w:r>
            <w:r/>
          </w:p>
        </w:tc>
        <w:tc>
          <w:tcPr>
            <w:tcW w:w="4909" w:type="dxa"/>
            <w:textDirection w:val="lrTb"/>
            <w:noWrap/>
          </w:tcPr>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（一）投标人须对以下条件进行承诺</w:t>
            </w:r>
            <w:r>
              <w:rPr>
                <w:rFonts w:hint="eastAsia" w:ascii="宋体" w:hAnsi="宋体" w:eastAsia="宋体" w:cs="Times New Roman"/>
                <w:color w:val="000000"/>
                <w:sz w:val="24"/>
                <w:szCs w:val="24"/>
                <w:lang w:eastAsia="zh-CN"/>
              </w:rPr>
              <w:t xml:space="preserve">，否则无效投标</w:t>
            </w:r>
            <w:r>
              <w:rPr>
                <w:rFonts w:hint="eastAsia" w:ascii="宋体" w:hAnsi="宋体" w:eastAsia="宋体" w:cs="Times New Roman"/>
                <w:color w:val="000000"/>
                <w:sz w:val="24"/>
                <w:szCs w:val="24"/>
              </w:rPr>
              <w:t xml:space="preserve">（承诺函格式自拟）：</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1、投标人必须遵守国家有关的法律、法规和招标单位的制度。</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2、投标人必须为有实力、信誉好的供应商。</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3、投标人提供的投标车辆须质量优良，符合国家质量检测标准。产品的售后服务必须有生产厂家的技术支持和保修承诺。</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4、投标人必须具有较强的技术力量，保证售后服务。</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5、投标人所提供资料均应真实，如发现有虚假，将取消资格；如给需求方造成损失，由投标人赔偿一切由此带来的损失。</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6、供应商所投车辆的年检应当合法有效。响应供应商提供的所有车辆须为以响应供应商或其法定代表人名义登记注册的自有车辆。</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供应商所投车辆必须保证手续完备、证件及各</w:t>
            </w:r>
            <w:bookmarkStart w:id="41" w:name="_GoBack"/>
            <w:r/>
            <w:bookmarkEnd w:id="41"/>
            <w:r>
              <w:rPr>
                <w:rFonts w:hint="eastAsia" w:ascii="宋体" w:hAnsi="宋体" w:eastAsia="宋体" w:cs="Times New Roman"/>
                <w:color w:val="000000"/>
                <w:sz w:val="24"/>
                <w:szCs w:val="24"/>
              </w:rPr>
              <w:t xml:space="preserve">种备件齐全（包含：机动车交通事故责任强制保险、第三者责任险、承运人责任保险），车况良好， 无违章、违法、及法律纠纷。供应商所投车辆应当具有公安部门颁发的机动车行驶证。</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租赁期内，出租方负责缴纳租赁车辆的各种保险费和税费，包括强制保险、车船税、全车盗抢险、车辆损失险、车辆划痕险、玻璃单独破碎险、第三者责任险等附加险。租赁期内，出租方负责车辆的年检、环保检测、维修和保养，并承担费用。</w:t>
            </w:r>
            <w:r/>
          </w:p>
          <w:p>
            <w:pPr>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8、响应供应商须承诺本项目所提供车辆的发动机、波箱等重要部件无大修，无发生过重大交通事故。若租用后发现有上述问题，采购人有权立即解除合同且由成交人退回已支付的所有租金，因此产生的所有费用由成交人承担</w:t>
            </w:r>
            <w:r>
              <w:rPr>
                <w:rFonts w:hint="eastAsia" w:ascii="宋体" w:hAnsi="宋体" w:eastAsia="宋体" w:cs="Times New Roman"/>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验收要求：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 </w:t>
            </w:r>
            <w:r/>
          </w:p>
        </w:tc>
      </w:tr>
      <w:tr>
        <w:trPr>
          <w:trHeight w:val="1173"/>
        </w:trPr>
        <w:tc>
          <w:tcPr>
            <w:tcW w:w="1927" w:type="dxa"/>
            <w:vAlign w:val="center"/>
            <w:textDirection w:val="lrTb"/>
            <w:noWrap/>
          </w:tcPr>
          <w:p>
            <w:pPr>
              <w:ind w:firstLine="480"/>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w:t>
            </w:r>
            <w:r/>
          </w:p>
        </w:tc>
        <w:tc>
          <w:tcPr>
            <w:tcW w:w="2936" w:type="dxa"/>
            <w:vAlign w:val="center"/>
            <w:textDirection w:val="lrTb"/>
            <w:noWrap/>
          </w:tcPr>
          <w:p>
            <w:pPr>
              <w:ind w:firstLine="480"/>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服务要求（完全响应）</w:t>
            </w:r>
            <w:r/>
          </w:p>
        </w:tc>
        <w:tc>
          <w:tcPr>
            <w:tcW w:w="4909" w:type="dxa"/>
            <w:vAlign w:val="center"/>
            <w:textDirection w:val="lrTb"/>
            <w:noWrap/>
          </w:tcPr>
          <w:p>
            <w:pPr>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1、租赁费包含车辆租金、车辆年检、保险及税费等费用</w:t>
            </w:r>
            <w:r>
              <w:rPr>
                <w:rFonts w:hint="eastAsia" w:ascii="宋体" w:hAnsi="宋体" w:eastAsia="宋体" w:cs="Times New Roman"/>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2、车辆保养周期为5000公里；</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3、租赁服务过程中产生的油费、过路过桥费用、停车费、车辆违章费等由招标方承担，其他可能产生的任何费用均由投标人承担；</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4、承租车辆已上全险，每辆车辆保险明细包括：交通强制险、车辆损失险、车损险不计免赔、第三方责任险、车上人员责任险、玻璃单独破损险、不计免赔险；</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5、保险理赔范围内所有费用不需招标人承担；</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6、租赁期由于车辆本身故障导致车辆无法正常行使的，投标人免费提供同档次及以上的备用车；</w:t>
            </w:r>
            <w:r/>
          </w:p>
          <w:p>
            <w:pPr>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7、供应商成交后交给采购人用车前，须保证车辆质量状况、安全性能良好，并符合公安部门及交委的相关要求。符合国家相关标准和国家规定的安全、环保等要求，尾气排放标准。为保证车辆可以正常上路行驶，成交人须保证座椅、空调功能正常无故障，配置合格的安全带、安全锤等安全装置、行车记录仪和防盗系统，否则出现车辆被盗情况，采购人将不承担任何责任。成交人须确保车辆无重大交通责任事故或犯罪记录。车辆日常保养由成交人负责，需按时定期保养</w:t>
            </w:r>
            <w:r>
              <w:rPr>
                <w:rFonts w:hint="eastAsia" w:ascii="宋体" w:hAnsi="宋体" w:eastAsia="宋体" w:cs="Times New Roman"/>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8、投标人负责对租赁车辆在使用中发生抛锚或故障提供救援服务，其中对于租赁车辆由于本身质量问题而发生的故障，投标人有义务免费进行施救</w:t>
            </w:r>
            <w:r>
              <w:rPr>
                <w:rFonts w:hint="eastAsia" w:ascii="宋体" w:hAnsi="宋体" w:eastAsia="宋体" w:cs="Times New Roman"/>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9、车辆租赁期内，盗抢险发生赔付及发生交通事故车辆受损发生赔付时，采购人须配合成交人办理报案及出险等有关事务，采购人不需要缴纳车辆加速折旧费</w:t>
            </w:r>
            <w:r>
              <w:rPr>
                <w:rFonts w:hint="eastAsia" w:ascii="宋体" w:hAnsi="宋体" w:eastAsia="宋体" w:cs="Times New Roman"/>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10、投标人能够承诺服务响应时间并具备满足响应时间服务要求的硬件及软件条件；</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11、投标人具有车辆日常管理系统，具有保证车辆正常运营的管理体系；</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12、租赁服务期内，如发生交通事故，由投标人协助解决；</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13、投标人应保证租赁车辆车况良好、设备齐全且性能正常，并应提供车辆之行驶证、年检合格证及保险单复印件等有效证件，且保证该等证件在租期内合法有效；</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14、投标人负责定期年检及《车辆使用手册》规定的定期保养；</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15、投标人应协助处理在租赁期内的车辆保险事故及车辆维修工作；</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16、投标人保留随时检查车辆停放、行驶情况的权利；</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、经国家规定的道路运输管理部门认可的专业检测机构认定租赁车辆达不到标准的，且投标人拒绝在采购人要求的合理期限内替换车辆的，采购人有权单方面解除合同。 </w:t>
            </w:r>
            <w:r/>
          </w:p>
        </w:tc>
      </w:tr>
      <w:tr>
        <w:trPr>
          <w:trHeight w:val="453"/>
        </w:trPr>
        <w:tc>
          <w:tcPr>
            <w:tcW w:w="1927"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w:t>
            </w:r>
            <w:r/>
          </w:p>
        </w:tc>
        <w:tc>
          <w:tcPr>
            <w:tcW w:w="2936"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其他要求（完全响应）</w:t>
            </w:r>
            <w:r/>
          </w:p>
        </w:tc>
        <w:tc>
          <w:tcPr>
            <w:tcW w:w="4909" w:type="dxa"/>
            <w:vAlign w:val="center"/>
            <w:textDirection w:val="lrTb"/>
            <w:noWrap/>
          </w:tcPr>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1、响应供应商所提供的车辆：证照齐全、年检合格，功能正常，外观无划花、裂痕、凹陷和破损等。有以下情况的车辆不能作为租车用车：</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（1）已到报废年限、非法改装、非法营运、无牌证、假牌证、套牌、伪造证件的车辆；</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（2）不按市场监督管理等部门的有关规定，印制单位名称、广告、装饰品的车辆；</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（3）存在其他安全隐患的车辆。</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中标后严格按照投标文件要求，直接承包管理，不转包，不擅自将项目分包给第三方，如出现转包或其他违约，经过建设单位查实后，采购人有权取消其中标资格，一切法律责任及已造成的损失由中标人承担。 </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响应供应商必须清楚理解：本服务采购项目的取得并不意味着必然获得本项目服务的机会，采购人无法预计也无法保证成交人所能获得的服务项目数量。在服务期内成交人不得因采购人实际委托项目数量的减少或增加而要求提供任何形式的补偿或者赔偿。响应供应商需充分考虑投标的风险。响应供应商须在响应文件中提供承诺函，否则无效投标。（承诺函格式自拟）</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4、采购人有权在签订合同时对合同内容进行适当修改或调整。 </w:t>
            </w:r>
            <w:r/>
          </w:p>
          <w:p>
            <w:pPr>
              <w:keepLines w:val="0"/>
              <w:keepNext w:val="0"/>
              <w:pageBreakBefore w:val="0"/>
              <w:spacing w:line="36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5、服务期限：自合同签订之日起一年。</w:t>
            </w:r>
            <w:r/>
          </w:p>
        </w:tc>
      </w:tr>
      <w:tr>
        <w:trPr>
          <w:trHeight w:val="594"/>
        </w:trPr>
        <w:tc>
          <w:tcPr>
            <w:tcW w:w="1927"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w:t>
            </w:r>
            <w:r/>
          </w:p>
        </w:tc>
        <w:tc>
          <w:tcPr>
            <w:tcW w:w="2936" w:type="dxa"/>
            <w:vAlign w:val="center"/>
            <w:textDirection w:val="lrTb"/>
            <w:noWrap/>
          </w:tcPr>
          <w:p>
            <w:pPr>
              <w:jc w:val="cente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报价要求(★实质性要求)</w:t>
            </w:r>
            <w:r/>
          </w:p>
        </w:tc>
        <w:tc>
          <w:tcPr>
            <w:tcW w:w="4909" w:type="dxa"/>
            <w:textDirection w:val="lrTb"/>
            <w:noWrap/>
          </w:tcPr>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1.供应商应提供分项报价表（格式详见响应文件格式）。</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2.投标人报价应包含车辆租金、车辆年检、保险及税费等费用以及投标人认为需要的其他费用。</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 投标人的任何错漏、优惠、竞争性报价不得作为减轻责任、减少服务、增加收费、降低质量的理由。</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4、在履行合同期间如成本上涨或降低，业主对价格一律不作调整</w:t>
            </w:r>
            <w:r/>
          </w:p>
          <w:p>
            <w:pPr>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5、本次报价须为人民币报价</w:t>
            </w:r>
            <w:r/>
          </w:p>
        </w:tc>
      </w:tr>
    </w:tbl>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五</w:t>
      </w:r>
      <w:r>
        <w:rPr>
          <w:rFonts w:hint="eastAsia" w:ascii="宋体" w:hAnsi="宋体" w:eastAsia="宋体" w:cs="Times New Roman"/>
          <w:color w:val="000000"/>
          <w:sz w:val="24"/>
          <w:szCs w:val="24"/>
        </w:rPr>
        <w:t xml:space="preserve">、服务时间和地点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1、浦口区江浦街道辖区范围内（采购人指定地点）； </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2、服务周期：1年</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六</w:t>
      </w:r>
      <w:r>
        <w:rPr>
          <w:rFonts w:hint="eastAsia" w:ascii="宋体" w:hAnsi="宋体" w:eastAsia="宋体" w:cs="Times New Roman"/>
          <w:color w:val="000000"/>
          <w:sz w:val="24"/>
          <w:szCs w:val="24"/>
        </w:rPr>
        <w:t xml:space="preserve">、付款条件</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租赁费用每半年结算一次，每次结算时按实际租赁车辆的数量乘中标单价进行结算。（服务费付费比例标准：考核分95分（含）以上，付费比例100%；90分（含）-95分（不含），付费比例80%；80分（含）-90分（不含），付费比例60%；80分以下，付费比例50%。）</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zh-CN"/>
        </w:rPr>
        <w:t xml:space="preserve">在履行合同期间如成本上涨或降低，业主对价格一律不作调整。</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3、</w:t>
      </w:r>
      <w:r>
        <w:rPr>
          <w:rFonts w:hint="eastAsia" w:ascii="宋体" w:hAnsi="宋体" w:cs="Times New Roman"/>
          <w:color w:val="000000"/>
          <w:sz w:val="24"/>
          <w:szCs w:val="24"/>
          <w:lang w:val="en-US" w:eastAsia="zh-CN"/>
        </w:rPr>
        <w:t xml:space="preserve">成交供应商</w:t>
      </w:r>
      <w:r>
        <w:rPr>
          <w:rFonts w:hint="eastAsia" w:ascii="宋体" w:hAnsi="宋体" w:eastAsia="宋体" w:cs="Times New Roman"/>
          <w:color w:val="000000"/>
          <w:sz w:val="24"/>
          <w:szCs w:val="24"/>
          <w:lang w:val="zh-CN"/>
        </w:rPr>
        <w:t xml:space="preserve">出具有效发票，采购人转帐支付到</w:t>
      </w:r>
      <w:r>
        <w:rPr>
          <w:rFonts w:hint="eastAsia" w:ascii="宋体" w:hAnsi="宋体" w:eastAsia="宋体" w:cs="Times New Roman"/>
          <w:color w:val="000000"/>
          <w:sz w:val="24"/>
          <w:szCs w:val="24"/>
          <w:lang w:val="zh-CN" w:eastAsia="zh-CN"/>
        </w:rPr>
        <w:t xml:space="preserve">成交供应商</w:t>
      </w:r>
      <w:r>
        <w:rPr>
          <w:rFonts w:hint="eastAsia" w:ascii="宋体" w:hAnsi="宋体" w:eastAsia="宋体" w:cs="Times New Roman"/>
          <w:color w:val="000000"/>
          <w:sz w:val="24"/>
          <w:szCs w:val="24"/>
          <w:lang w:val="zh-CN"/>
        </w:rPr>
        <w:t xml:space="preserve">基本帐户。</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cs="Times New Roman"/>
          <w:color w:val="000000"/>
          <w:sz w:val="24"/>
          <w:szCs w:val="24"/>
          <w:lang w:val="en-US" w:eastAsia="zh-CN"/>
        </w:rPr>
        <w:t xml:space="preserve">成交供应商</w:t>
      </w:r>
      <w:r>
        <w:rPr>
          <w:rFonts w:hint="eastAsia" w:ascii="宋体" w:hAnsi="宋体" w:eastAsia="宋体" w:cs="Times New Roman"/>
          <w:color w:val="000000"/>
          <w:sz w:val="24"/>
          <w:szCs w:val="24"/>
        </w:rPr>
        <w:t xml:space="preserve">凭以下有效文件与采购人结算：</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lang w:val="zh-CN" w:eastAsia="zh-CN"/>
        </w:rPr>
        <w:t xml:space="preserve">成交供应商</w:t>
      </w:r>
      <w:r>
        <w:rPr>
          <w:rFonts w:hint="eastAsia" w:ascii="宋体" w:hAnsi="宋体" w:eastAsia="宋体" w:cs="Times New Roman"/>
          <w:color w:val="000000"/>
          <w:sz w:val="24"/>
          <w:szCs w:val="24"/>
          <w:lang w:val="zh-CN"/>
        </w:rPr>
        <w:t xml:space="preserve">开具的正式发票；2）</w:t>
      </w:r>
      <w:r>
        <w:rPr>
          <w:rFonts w:hint="eastAsia" w:ascii="宋体" w:hAnsi="宋体" w:eastAsia="宋体" w:cs="Times New Roman"/>
          <w:color w:val="000000"/>
          <w:sz w:val="24"/>
          <w:szCs w:val="24"/>
        </w:rPr>
        <w:t xml:space="preserve">车辆租赁数</w:t>
      </w:r>
      <w:r>
        <w:rPr>
          <w:rFonts w:hint="eastAsia" w:ascii="宋体" w:hAnsi="宋体" w:eastAsia="宋体" w:cs="Times New Roman"/>
          <w:color w:val="000000"/>
          <w:sz w:val="24"/>
          <w:szCs w:val="24"/>
          <w:lang w:val="zh-CN"/>
        </w:rPr>
        <w:t xml:space="preserve">量清单确认表。</w:t>
      </w:r>
      <w:r/>
    </w:p>
    <w:p>
      <w:pPr>
        <w:pStyle w:val="101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1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1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1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70"/>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en-US" w:eastAsia="zh-CN"/>
        </w:rPr>
        <w:t xml:space="preserve">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w:t>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本项目专门面向中小企业采购，不执行价格扣除政策，</w:t>
      </w:r>
      <w:r>
        <w:rPr>
          <w:rFonts w:hint="eastAsia" w:ascii="宋体" w:hAnsi="宋体" w:eastAsia="宋体" w:cs="宋体"/>
          <w:sz w:val="24"/>
          <w:szCs w:val="24"/>
          <w:lang w:val="zh-CN"/>
        </w:rPr>
        <w:t xml:space="preserve">供应商应为中小微企业、监狱企业、残疾人福利性单位。</w:t>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p>
    <w:tbl>
      <w:tblPr>
        <w:tblStyle w:val="1066"/>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61"/>
        <w:gridCol w:w="18"/>
        <w:gridCol w:w="6597"/>
        <w:gridCol w:w="592"/>
        <w:gridCol w:w="534"/>
      </w:tblGrid>
      <w:tr>
        <w:trPr>
          <w:jc w:val="center"/>
          <w:trHeight w:val="540"/>
          <w:tblHeader/>
        </w:trPr>
        <w:tc>
          <w:tcPr>
            <w:tcW w:w="519" w:type="dxa"/>
            <w:vAlign w:val="center"/>
            <w:textDirection w:val="lrTb"/>
            <w:noWrap/>
          </w:tcPr>
          <w:p>
            <w:pPr>
              <w:jc w:val="center"/>
              <w:spacing w:line="360" w:lineRule="auto"/>
              <w:rPr>
                <w:rFonts w:hint="eastAsia" w:ascii="宋体" w:hAnsi="宋体" w:eastAsia="宋体" w:cs="宋体"/>
                <w:b/>
                <w:bCs/>
                <w:spacing w:val="-2"/>
              </w:rPr>
            </w:pPr>
            <w:r>
              <w:rPr>
                <w:rFonts w:hint="eastAsia" w:ascii="宋体" w:hAnsi="宋体" w:eastAsia="宋体" w:cs="宋体"/>
                <w:b/>
                <w:bCs/>
                <w:spacing w:val="-2"/>
              </w:rPr>
              <w:t xml:space="preserve">序号</w:t>
            </w:r>
            <w:r/>
          </w:p>
        </w:tc>
        <w:tc>
          <w:tcPr>
            <w:gridSpan w:val="2"/>
            <w:tcW w:w="1179" w:type="dxa"/>
            <w:vAlign w:val="center"/>
            <w:textDirection w:val="lrTb"/>
            <w:noWrap/>
          </w:tcPr>
          <w:p>
            <w:pPr>
              <w:jc w:val="center"/>
              <w:spacing w:line="360" w:lineRule="auto"/>
              <w:rPr>
                <w:rFonts w:hint="eastAsia" w:ascii="宋体" w:hAnsi="宋体" w:eastAsia="宋体" w:cs="宋体"/>
                <w:b/>
                <w:bCs/>
                <w:spacing w:val="-2"/>
              </w:rPr>
            </w:pPr>
            <w:r>
              <w:rPr>
                <w:rFonts w:hint="eastAsia" w:ascii="宋体" w:hAnsi="宋体" w:eastAsia="宋体" w:cs="宋体"/>
                <w:b/>
                <w:bCs/>
                <w:spacing w:val="-2"/>
              </w:rPr>
              <w:t xml:space="preserve">评审因素</w:t>
            </w:r>
            <w:r/>
          </w:p>
        </w:tc>
        <w:tc>
          <w:tcPr>
            <w:tcW w:w="6597" w:type="dxa"/>
            <w:vAlign w:val="center"/>
            <w:textDirection w:val="lrTb"/>
            <w:noWrap/>
          </w:tcPr>
          <w:p>
            <w:pPr>
              <w:jc w:val="center"/>
              <w:spacing w:line="360" w:lineRule="auto"/>
              <w:rPr>
                <w:rFonts w:hint="eastAsia" w:ascii="宋体" w:hAnsi="宋体" w:eastAsia="宋体" w:cs="宋体"/>
                <w:b/>
                <w:bCs/>
                <w:spacing w:val="-2"/>
              </w:rPr>
            </w:pPr>
            <w:r>
              <w:rPr>
                <w:rFonts w:hint="eastAsia" w:ascii="宋体" w:hAnsi="宋体" w:eastAsia="宋体" w:cs="宋体"/>
                <w:b/>
                <w:bCs/>
                <w:spacing w:val="-2"/>
              </w:rPr>
              <w:t xml:space="preserve">评审细则</w:t>
            </w:r>
            <w:r/>
          </w:p>
        </w:tc>
        <w:tc>
          <w:tcPr>
            <w:tcW w:w="592" w:type="dxa"/>
            <w:vAlign w:val="center"/>
            <w:textDirection w:val="lrTb"/>
            <w:noWrap/>
          </w:tcPr>
          <w:p>
            <w:pPr>
              <w:jc w:val="center"/>
              <w:spacing w:line="360" w:lineRule="auto"/>
              <w:rPr>
                <w:rFonts w:hint="eastAsia" w:ascii="宋体" w:hAnsi="宋体" w:eastAsia="宋体" w:cs="宋体"/>
                <w:b/>
                <w:bCs/>
                <w:spacing w:val="-2"/>
              </w:rPr>
            </w:pPr>
            <w:r>
              <w:rPr>
                <w:rFonts w:hint="eastAsia" w:ascii="宋体" w:hAnsi="宋体" w:eastAsia="宋体" w:cs="宋体"/>
                <w:b/>
                <w:bCs/>
                <w:spacing w:val="-2"/>
              </w:rPr>
              <w:t xml:space="preserve">分值</w:t>
            </w:r>
            <w:r/>
          </w:p>
        </w:tc>
        <w:tc>
          <w:tcPr>
            <w:tcW w:w="534" w:type="dxa"/>
            <w:vAlign w:val="center"/>
            <w:textDirection w:val="lrTb"/>
            <w:noWrap/>
          </w:tcPr>
          <w:p>
            <w:pPr>
              <w:jc w:val="center"/>
              <w:spacing w:line="360" w:lineRule="auto"/>
              <w:rPr>
                <w:rFonts w:hint="eastAsia" w:ascii="宋体" w:hAnsi="宋体" w:eastAsia="宋体" w:cs="宋体"/>
                <w:b/>
                <w:bCs/>
                <w:spacing w:val="-2"/>
              </w:rPr>
            </w:pPr>
            <w:r>
              <w:rPr>
                <w:rFonts w:hint="eastAsia" w:ascii="宋体" w:hAnsi="宋体" w:eastAsia="宋体" w:cs="宋体"/>
                <w:b/>
                <w:bCs/>
                <w:spacing w:val="-2"/>
              </w:rPr>
              <w:t xml:space="preserve">类型</w:t>
            </w:r>
            <w:r/>
          </w:p>
        </w:tc>
      </w:tr>
      <w:tr>
        <w:trPr>
          <w:jc w:val="center"/>
          <w:trHeight w:val="358"/>
        </w:trPr>
        <w:tc>
          <w:tcPr>
            <w:gridSpan w:val="6"/>
            <w:tcW w:w="9421" w:type="dxa"/>
            <w:textDirection w:val="lrTb"/>
            <w:noWrap/>
          </w:tcPr>
          <w:p>
            <w:pPr>
              <w:spacing w:line="360" w:lineRule="auto"/>
              <w:rPr>
                <w:rFonts w:hint="eastAsia" w:ascii="宋体" w:hAnsi="宋体" w:eastAsia="宋体" w:cs="宋体"/>
              </w:rPr>
            </w:pPr>
            <w:r>
              <w:rPr>
                <w:rFonts w:hint="eastAsia" w:ascii="宋体" w:hAnsi="宋体" w:eastAsia="宋体" w:cs="宋体"/>
                <w:b/>
                <w:bCs/>
                <w:spacing w:val="-3"/>
              </w:rPr>
              <w:t xml:space="preserve">1价</w:t>
            </w:r>
            <w:r>
              <w:rPr>
                <w:rFonts w:hint="eastAsia" w:ascii="宋体" w:hAnsi="宋体" w:eastAsia="宋体" w:cs="宋体"/>
                <w:b/>
                <w:bCs/>
                <w:spacing w:val="-2"/>
              </w:rPr>
              <w:t xml:space="preserve">格</w:t>
            </w:r>
            <w:r/>
          </w:p>
        </w:tc>
      </w:tr>
      <w:tr>
        <w:trPr>
          <w:jc w:val="center"/>
          <w:trHeight w:val="865"/>
        </w:trPr>
        <w:tc>
          <w:tcPr>
            <w:tcW w:w="51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spacing w:val="-6"/>
              </w:rPr>
              <w:t xml:space="preserve">1</w:t>
            </w:r>
            <w:r>
              <w:rPr>
                <w:rFonts w:hint="eastAsia" w:ascii="宋体" w:hAnsi="宋体" w:eastAsia="宋体" w:cs="宋体"/>
                <w:spacing w:val="-5"/>
              </w:rPr>
              <w:t xml:space="preserve">.1</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spacing w:val="-2"/>
              </w:rPr>
              <w:t xml:space="preserve">价格分</w:t>
            </w:r>
            <w:r/>
          </w:p>
        </w:tc>
        <w:tc>
          <w:tcPr>
            <w:tcW w:w="6597" w:type="dxa"/>
            <w:vAlign w:val="center"/>
            <w:textDirection w:val="lrTb"/>
            <w:noWrap/>
          </w:tcPr>
          <w:p>
            <w:pPr>
              <w:jc w:val="left"/>
              <w:rPr>
                <w:rFonts w:hint="eastAsia" w:ascii="宋体" w:hAnsi="宋体" w:eastAsia="宋体" w:cs="宋体"/>
              </w:rPr>
            </w:pPr>
            <w:r>
              <w:rPr>
                <w:rFonts w:hint="eastAsia" w:ascii="宋体" w:hAnsi="宋体" w:eastAsia="宋体" w:cs="宋体"/>
                <w:spacing w:val="1"/>
              </w:rPr>
              <w:t xml:space="preserve">采用低价优先</w:t>
            </w:r>
            <w:r>
              <w:rPr>
                <w:rFonts w:hint="eastAsia" w:ascii="宋体" w:hAnsi="宋体" w:eastAsia="宋体" w:cs="宋体"/>
              </w:rPr>
              <w:t xml:space="preserve">法计算，即满足采购文件要求且最终报价最低的</w:t>
            </w:r>
            <w:r>
              <w:rPr>
                <w:rFonts w:hint="eastAsia" w:ascii="宋体" w:hAnsi="宋体" w:eastAsia="宋体" w:cs="宋体"/>
                <w:spacing w:val="1"/>
              </w:rPr>
              <w:t xml:space="preserve">为评审基准</w:t>
            </w:r>
            <w:r>
              <w:rPr>
                <w:rFonts w:hint="eastAsia" w:ascii="宋体" w:hAnsi="宋体" w:eastAsia="宋体" w:cs="宋体"/>
              </w:rPr>
              <w:t xml:space="preserve">价，其价格分为满分。其他供应商的价格分统一按</w:t>
            </w:r>
            <w:r>
              <w:rPr>
                <w:rFonts w:hint="eastAsia" w:ascii="宋体" w:hAnsi="宋体" w:eastAsia="宋体" w:cs="宋体"/>
                <w:spacing w:val="-1"/>
              </w:rPr>
              <w:t xml:space="preserve">照下列公</w:t>
            </w:r>
            <w:r>
              <w:rPr>
                <w:rFonts w:hint="eastAsia" w:ascii="宋体" w:hAnsi="宋体" w:eastAsia="宋体" w:cs="宋体"/>
              </w:rPr>
              <w:t xml:space="preserve">式计算：报价得分=(评标基准价/最终报价)×15</w:t>
            </w:r>
            <w:r/>
          </w:p>
        </w:tc>
        <w:tc>
          <w:tcPr>
            <w:tcW w:w="592"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15</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价格分</w:t>
            </w:r>
            <w:r/>
          </w:p>
        </w:tc>
      </w:tr>
      <w:tr>
        <w:trPr>
          <w:jc w:val="center"/>
          <w:trHeight w:val="345"/>
        </w:trPr>
        <w:tc>
          <w:tcPr>
            <w:gridSpan w:val="6"/>
            <w:tcW w:w="9421" w:type="dxa"/>
            <w:textDirection w:val="lrTb"/>
            <w:noWrap/>
          </w:tcPr>
          <w:p>
            <w:pPr>
              <w:spacing w:line="360" w:lineRule="auto"/>
              <w:rPr>
                <w:rFonts w:hint="eastAsia" w:ascii="宋体" w:hAnsi="宋体" w:eastAsia="宋体" w:cs="宋体"/>
              </w:rPr>
            </w:pPr>
            <w:r>
              <w:rPr>
                <w:rFonts w:hint="eastAsia" w:ascii="宋体" w:hAnsi="宋体" w:eastAsia="宋体" w:cs="宋体"/>
                <w:b/>
                <w:bCs/>
                <w:spacing w:val="-3"/>
              </w:rPr>
              <w:t xml:space="preserve">2服务</w:t>
            </w:r>
            <w:r/>
          </w:p>
        </w:tc>
      </w:tr>
      <w:tr>
        <w:trPr>
          <w:jc w:val="center"/>
          <w:trHeight w:val="90"/>
        </w:trPr>
        <w:tc>
          <w:tcPr>
            <w:tcW w:w="519" w:type="dxa"/>
            <w:vAlign w:val="center"/>
            <w:textDirection w:val="lrTb"/>
            <w:noWrap/>
          </w:tcPr>
          <w:p>
            <w:pPr>
              <w:jc w:val="center"/>
              <w:spacing w:line="360" w:lineRule="auto"/>
              <w:rPr>
                <w:rFonts w:hint="eastAsia" w:ascii="宋体" w:hAnsi="宋体" w:eastAsia="宋体" w:cs="宋体"/>
                <w:spacing w:val="-2"/>
              </w:rPr>
            </w:pPr>
            <w:r>
              <w:rPr>
                <w:rFonts w:hint="eastAsia" w:ascii="宋体" w:hAnsi="宋体" w:eastAsia="宋体" w:cs="宋体"/>
                <w:spacing w:val="-2"/>
              </w:rPr>
              <w:t xml:space="preserve">2.1</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车辆租赁方案</w:t>
            </w:r>
            <w:r/>
          </w:p>
        </w:tc>
        <w:tc>
          <w:tcPr>
            <w:tcW w:w="6597" w:type="dxa"/>
            <w:vAlign w:val="center"/>
            <w:textDirection w:val="lrTb"/>
            <w:noWrap/>
          </w:tcPr>
          <w:p>
            <w:pPr>
              <w:jc w:val="left"/>
              <w:rPr>
                <w:rFonts w:hint="eastAsia" w:ascii="宋体" w:hAnsi="宋体" w:eastAsia="宋体" w:cs="宋体"/>
              </w:rPr>
            </w:pPr>
            <w:r>
              <w:rPr>
                <w:rFonts w:hint="eastAsia" w:ascii="宋体" w:hAnsi="宋体" w:eastAsia="宋体" w:cs="宋体"/>
              </w:rPr>
              <w:t xml:space="preserve">供应商需提供车辆租赁方案，内容包括但不限于拟投入服务车辆介绍、设置专线电话、提供 24 小时叫车服务、公布 24 小时叫车电话、服务车辆租赁团队人员配置、岗位分工、执行力等。方案最符合本项目需求，可执行力强、精简高效的得 10 分；方案较结合项目需求，可操作性一般，较高效的得 7 分；方案可操作性粗糙，高效性欠佳的得4分，方案与项目需求不甚符合，可操作性较差的得 1 分</w:t>
            </w:r>
            <w:r>
              <w:rPr>
                <w:rFonts w:hint="eastAsia" w:ascii="宋体" w:hAnsi="宋体" w:eastAsia="宋体" w:cs="宋体"/>
                <w:lang w:eastAsia="zh-CN"/>
              </w:rPr>
              <w:t xml:space="preserve">；</w:t>
            </w:r>
            <w:r>
              <w:rPr>
                <w:rFonts w:hint="eastAsia" w:ascii="宋体" w:hAnsi="宋体" w:eastAsia="宋体" w:cs="宋体"/>
              </w:rPr>
              <w:t xml:space="preserve">未提供</w:t>
            </w:r>
            <w:r>
              <w:rPr>
                <w:rFonts w:hint="eastAsia" w:ascii="宋体" w:hAnsi="宋体" w:eastAsia="宋体" w:cs="宋体"/>
                <w:lang w:val="en-US" w:eastAsia="zh-CN"/>
              </w:rPr>
              <w:t xml:space="preserve">方案</w:t>
            </w:r>
            <w:r>
              <w:rPr>
                <w:rFonts w:hint="eastAsia" w:ascii="宋体" w:hAnsi="宋体" w:eastAsia="宋体" w:cs="宋体"/>
              </w:rPr>
              <w:t xml:space="preserve">不得分。</w:t>
            </w:r>
            <w:r/>
          </w:p>
        </w:tc>
        <w:tc>
          <w:tcPr>
            <w:tcW w:w="592"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10</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主观分</w:t>
            </w:r>
            <w:r/>
          </w:p>
        </w:tc>
      </w:tr>
      <w:tr>
        <w:trPr>
          <w:jc w:val="center"/>
          <w:trHeight w:val="243"/>
        </w:trPr>
        <w:tc>
          <w:tcPr>
            <w:tcW w:w="519" w:type="dxa"/>
            <w:vAlign w:val="center"/>
            <w:textDirection w:val="lrTb"/>
            <w:noWrap/>
          </w:tcPr>
          <w:p>
            <w:pPr>
              <w:jc w:val="center"/>
              <w:spacing w:line="360" w:lineRule="auto"/>
              <w:rPr>
                <w:rFonts w:hint="eastAsia" w:ascii="宋体" w:hAnsi="宋体" w:eastAsia="宋体" w:cs="宋体"/>
                <w:spacing w:val="-2"/>
              </w:rPr>
            </w:pPr>
            <w:r>
              <w:rPr>
                <w:rFonts w:hint="eastAsia" w:ascii="宋体" w:hAnsi="宋体" w:eastAsia="宋体" w:cs="宋体"/>
                <w:spacing w:val="-2"/>
              </w:rPr>
              <w:t xml:space="preserve">2.2</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突发情况的应急预案</w:t>
            </w:r>
            <w:r/>
          </w:p>
        </w:tc>
        <w:tc>
          <w:tcPr>
            <w:tcW w:w="6597" w:type="dxa"/>
            <w:vAlign w:val="center"/>
            <w:textDirection w:val="lrTb"/>
            <w:noWrap/>
          </w:tcPr>
          <w:p>
            <w:pPr>
              <w:rPr>
                <w:rFonts w:hint="eastAsia" w:ascii="宋体" w:hAnsi="宋体" w:eastAsia="宋体" w:cs="宋体"/>
                <w:lang w:eastAsia="zh-CN"/>
              </w:rPr>
            </w:pPr>
            <w:r>
              <w:rPr>
                <w:rFonts w:hint="eastAsia" w:ascii="宋体" w:hAnsi="宋体" w:eastAsia="宋体" w:cs="宋体"/>
              </w:rPr>
              <w:t xml:space="preserve">突发事件、车辆突发状况应急处理预案应当包括车辆故障、纠纷闹事、安全事故、车辆维修及保养、年检、理赔等，预案制定完备健全，且针对性、操作性强得 10 分；预案制定基本完备健全，且针对性、操作性强得7分；预案制定较完备健全，且较有针对性、操作性较强得4 分；预案制定不完备健全，且无针对性、操作性不强得 1 分</w:t>
            </w:r>
            <w:r>
              <w:rPr>
                <w:rFonts w:hint="eastAsia" w:ascii="宋体" w:hAnsi="宋体" w:eastAsia="宋体" w:cs="宋体"/>
                <w:lang w:eastAsia="zh-CN"/>
              </w:rPr>
              <w:t xml:space="preserve">；</w:t>
            </w:r>
            <w:r>
              <w:rPr>
                <w:rFonts w:hint="eastAsia" w:ascii="宋体" w:hAnsi="宋体" w:eastAsia="宋体" w:cs="宋体"/>
              </w:rPr>
              <w:t xml:space="preserve">未提供</w:t>
            </w:r>
            <w:r>
              <w:rPr>
                <w:rFonts w:hint="eastAsia" w:ascii="宋体" w:hAnsi="宋体" w:eastAsia="宋体" w:cs="宋体"/>
                <w:lang w:val="en-US" w:eastAsia="zh-CN"/>
              </w:rPr>
              <w:t xml:space="preserve">方案</w:t>
            </w:r>
            <w:r>
              <w:rPr>
                <w:rFonts w:hint="eastAsia" w:ascii="宋体" w:hAnsi="宋体" w:eastAsia="宋体" w:cs="宋体"/>
              </w:rPr>
              <w:t xml:space="preserve">不得分</w:t>
            </w:r>
            <w:r>
              <w:rPr>
                <w:rFonts w:hint="eastAsia" w:ascii="宋体" w:hAnsi="宋体" w:eastAsia="宋体" w:cs="宋体"/>
                <w:lang w:eastAsia="zh-CN"/>
              </w:rPr>
              <w:t xml:space="preserve">。</w:t>
            </w:r>
            <w:r/>
          </w:p>
        </w:tc>
        <w:tc>
          <w:tcPr>
            <w:tcW w:w="592"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10</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主观分</w:t>
            </w:r>
            <w:r/>
          </w:p>
        </w:tc>
      </w:tr>
      <w:tr>
        <w:trPr>
          <w:jc w:val="center"/>
          <w:trHeight w:val="90"/>
        </w:trPr>
        <w:tc>
          <w:tcPr>
            <w:tcW w:w="519" w:type="dxa"/>
            <w:vAlign w:val="center"/>
            <w:textDirection w:val="lrTb"/>
            <w:noWrap/>
          </w:tcPr>
          <w:p>
            <w:pPr>
              <w:jc w:val="center"/>
              <w:spacing w:line="360" w:lineRule="auto"/>
              <w:rPr>
                <w:rFonts w:hint="eastAsia" w:ascii="宋体" w:hAnsi="宋体" w:eastAsia="宋体" w:cs="宋体"/>
                <w:spacing w:val="-2"/>
              </w:rPr>
            </w:pPr>
            <w:r>
              <w:rPr>
                <w:rFonts w:hint="eastAsia" w:ascii="宋体" w:hAnsi="宋体" w:eastAsia="宋体" w:cs="宋体"/>
                <w:spacing w:val="-2"/>
              </w:rPr>
              <w:t xml:space="preserve">2.3</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定期保养服务流程管控措施</w:t>
            </w:r>
            <w:r/>
          </w:p>
        </w:tc>
        <w:tc>
          <w:tcPr>
            <w:tcW w:w="6597" w:type="dxa"/>
            <w:vAlign w:val="center"/>
            <w:textDirection w:val="lrTb"/>
            <w:noWrap/>
          </w:tcPr>
          <w:p>
            <w:pPr>
              <w:rPr>
                <w:rFonts w:hint="eastAsia" w:ascii="宋体" w:hAnsi="宋体" w:eastAsia="宋体" w:cs="宋体"/>
              </w:rPr>
            </w:pPr>
            <w:r>
              <w:rPr>
                <w:rFonts w:hint="eastAsia" w:ascii="宋体" w:hAnsi="宋体" w:eastAsia="宋体" w:cs="宋体"/>
              </w:rPr>
              <w:t xml:space="preserve">评委根据各供应商提供的车辆定期保养服务流程管控措施进行评分：措施完整，合理，科学，可操作性强得10分；措施较为完整，有一定合理性、科学性、可操作性得7分；措施基本完整，合理性一般、有一定科学性、可操作性一般得4分；措施可操作性较差得1分；未提供方案不得分。</w:t>
            </w:r>
            <w:r/>
          </w:p>
        </w:tc>
        <w:tc>
          <w:tcPr>
            <w:tcW w:w="592"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10</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主观分</w:t>
            </w:r>
            <w:r/>
          </w:p>
        </w:tc>
      </w:tr>
      <w:tr>
        <w:trPr>
          <w:jc w:val="center"/>
          <w:trHeight w:val="90"/>
        </w:trPr>
        <w:tc>
          <w:tcPr>
            <w:tcW w:w="519" w:type="dxa"/>
            <w:vAlign w:val="center"/>
            <w:textDirection w:val="lrTb"/>
            <w:noWrap/>
          </w:tcPr>
          <w:p>
            <w:pPr>
              <w:jc w:val="center"/>
              <w:spacing w:line="360" w:lineRule="auto"/>
              <w:rPr>
                <w:rFonts w:hint="eastAsia" w:ascii="宋体" w:hAnsi="宋体" w:eastAsia="宋体" w:cs="宋体"/>
                <w:spacing w:val="-2"/>
              </w:rPr>
            </w:pPr>
            <w:r>
              <w:rPr>
                <w:rFonts w:hint="eastAsia" w:ascii="宋体" w:hAnsi="宋体" w:eastAsia="宋体" w:cs="宋体"/>
                <w:spacing w:val="-2"/>
              </w:rPr>
              <w:t xml:space="preserve">2.4</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定期年检服务流程管控措施</w:t>
            </w:r>
            <w:r/>
          </w:p>
        </w:tc>
        <w:tc>
          <w:tcPr>
            <w:tcW w:w="6597" w:type="dxa"/>
            <w:vAlign w:val="center"/>
            <w:textDirection w:val="lrTb"/>
            <w:noWrap/>
          </w:tcPr>
          <w:p>
            <w:pPr>
              <w:rPr>
                <w:rFonts w:hint="eastAsia" w:ascii="宋体" w:hAnsi="宋体" w:eastAsia="宋体" w:cs="宋体"/>
              </w:rPr>
            </w:pPr>
            <w:r>
              <w:rPr>
                <w:rFonts w:hint="eastAsia" w:ascii="宋体" w:hAnsi="宋体" w:eastAsia="宋体" w:cs="宋体"/>
              </w:rPr>
              <w:t xml:space="preserve">评委根据各供应商提供的车辆定期年检服务流程管控措施进行评分：措施完整，合理，科学，可操作性强得10分；措施较为完整，有一定合理性、科学性、可操作性得7分；措施基本完整，合理性一般、有一定科学性、可操作性一般得4分；措施可操作性较差得1分；未提供方案不得分。</w:t>
            </w:r>
            <w:r/>
          </w:p>
        </w:tc>
        <w:tc>
          <w:tcPr>
            <w:tcW w:w="592"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10</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主观分</w:t>
            </w:r>
            <w:r/>
          </w:p>
        </w:tc>
      </w:tr>
      <w:tr>
        <w:trPr>
          <w:jc w:val="center"/>
          <w:trHeight w:val="382"/>
        </w:trPr>
        <w:tc>
          <w:tcPr>
            <w:tcW w:w="519" w:type="dxa"/>
            <w:vAlign w:val="center"/>
            <w:textDirection w:val="lrTb"/>
            <w:noWrap/>
          </w:tcPr>
          <w:p>
            <w:pPr>
              <w:jc w:val="center"/>
              <w:spacing w:line="360" w:lineRule="auto"/>
              <w:rPr>
                <w:rFonts w:hint="eastAsia" w:ascii="宋体" w:hAnsi="宋体" w:eastAsia="宋体" w:cs="宋体"/>
                <w:spacing w:val="-2"/>
              </w:rPr>
            </w:pPr>
            <w:r>
              <w:rPr>
                <w:rFonts w:hint="eastAsia" w:ascii="宋体" w:hAnsi="宋体" w:eastAsia="宋体" w:cs="宋体"/>
                <w:spacing w:val="-2"/>
              </w:rPr>
              <w:t xml:space="preserve">2.5</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车辆交接验收方案</w:t>
            </w:r>
            <w:r/>
          </w:p>
        </w:tc>
        <w:tc>
          <w:tcPr>
            <w:tcW w:w="6597" w:type="dxa"/>
            <w:vAlign w:val="center"/>
            <w:textDirection w:val="lrTb"/>
            <w:noWrap/>
          </w:tcPr>
          <w:p>
            <w:pPr>
              <w:jc w:val="left"/>
              <w:rPr>
                <w:rFonts w:hint="eastAsia" w:ascii="宋体" w:hAnsi="宋体" w:eastAsia="宋体" w:cs="宋体"/>
              </w:rPr>
            </w:pPr>
            <w:r>
              <w:rPr>
                <w:rFonts w:hint="eastAsia" w:ascii="宋体" w:hAnsi="宋体" w:eastAsia="宋体" w:cs="宋体"/>
              </w:rPr>
              <w:t xml:space="preserve">评委根据各供应商提供的车辆交接验收方案进行评分：方案完整，合理，科学，可操作性强得10分；方案较为完整，有一定合理性、科学性、可操作性得7分；方案基本完整，合理性一般、有一定科学性、可操作性一般得4分；方案可操作性较差得1分；未提供方案不得分。</w:t>
            </w:r>
            <w:r/>
          </w:p>
        </w:tc>
        <w:tc>
          <w:tcPr>
            <w:tcW w:w="592"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10</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主观分</w:t>
            </w:r>
            <w:r/>
          </w:p>
        </w:tc>
      </w:tr>
      <w:tr>
        <w:trPr>
          <w:jc w:val="center"/>
          <w:trHeight w:val="382"/>
        </w:trPr>
        <w:tc>
          <w:tcPr>
            <w:tcW w:w="519" w:type="dxa"/>
            <w:vAlign w:val="center"/>
            <w:textDirection w:val="lrTb"/>
            <w:noWrap/>
          </w:tcPr>
          <w:p>
            <w:pPr>
              <w:jc w:val="center"/>
              <w:spacing w:line="360" w:lineRule="auto"/>
              <w:rPr>
                <w:rFonts w:hint="eastAsia" w:ascii="宋体" w:hAnsi="宋体" w:eastAsia="宋体" w:cs="宋体"/>
                <w:spacing w:val="-2"/>
              </w:rPr>
            </w:pPr>
            <w:r>
              <w:rPr>
                <w:rFonts w:hint="eastAsia" w:ascii="宋体" w:hAnsi="宋体" w:eastAsia="宋体" w:cs="宋体"/>
                <w:spacing w:val="-2"/>
              </w:rPr>
              <w:t xml:space="preserve">2.6</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售后服务方案</w:t>
            </w:r>
            <w:r/>
          </w:p>
        </w:tc>
        <w:tc>
          <w:tcPr>
            <w:tcW w:w="6597" w:type="dxa"/>
            <w:vAlign w:val="center"/>
            <w:textDirection w:val="lrTb"/>
            <w:noWrap/>
          </w:tcPr>
          <w:p>
            <w:pPr>
              <w:jc w:val="left"/>
              <w:rPr>
                <w:rFonts w:hint="eastAsia" w:ascii="宋体" w:hAnsi="宋体" w:eastAsia="宋体" w:cs="宋体"/>
              </w:rPr>
            </w:pPr>
            <w:r>
              <w:rPr>
                <w:rFonts w:hint="eastAsia" w:ascii="宋体" w:hAnsi="宋体" w:eastAsia="宋体" w:cs="宋体"/>
              </w:rPr>
              <w:t xml:space="preserve">针对本项目提供的售后服务计划、响应时间、售后服务专业技术人员保障及服务电话等方面进行打分：</w:t>
            </w:r>
            <w:r/>
          </w:p>
          <w:p>
            <w:pPr>
              <w:jc w:val="left"/>
              <w:rPr>
                <w:rFonts w:hint="eastAsia" w:ascii="宋体" w:hAnsi="宋体" w:eastAsia="宋体" w:cs="宋体"/>
              </w:rPr>
            </w:pPr>
            <w:r>
              <w:rPr>
                <w:rFonts w:hint="eastAsia" w:ascii="宋体" w:hAnsi="宋体" w:eastAsia="宋体" w:cs="宋体"/>
              </w:rPr>
              <w:t xml:space="preserve">售后服务保证措施详细、完善、合理并完全满足招标文件要求得10 分，售后服务保证措施较详细、较完善、较合理并基本满足招标文件要求的得7 分，售后服务保证措施一般、合理性一般的得4分，售后服务保证措施粗糙，合理性欠佳的得1分；未提供方案不得分。</w:t>
            </w:r>
            <w:r/>
          </w:p>
        </w:tc>
        <w:tc>
          <w:tcPr>
            <w:tcW w:w="592"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10</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主观分</w:t>
            </w:r>
            <w:r/>
          </w:p>
        </w:tc>
      </w:tr>
      <w:tr>
        <w:trPr>
          <w:jc w:val="center"/>
          <w:trHeight w:val="90"/>
        </w:trPr>
        <w:tc>
          <w:tcPr>
            <w:gridSpan w:val="6"/>
            <w:tcW w:w="9421" w:type="dxa"/>
            <w:vAlign w:val="center"/>
            <w:textDirection w:val="lrTb"/>
            <w:noWrap/>
          </w:tcPr>
          <w:p>
            <w:pPr>
              <w:jc w:val="left"/>
              <w:spacing w:line="360" w:lineRule="auto"/>
              <w:rPr>
                <w:rFonts w:hint="eastAsia" w:ascii="宋体" w:hAnsi="宋体" w:eastAsia="宋体" w:cs="宋体"/>
              </w:rPr>
            </w:pPr>
            <w:r>
              <w:rPr>
                <w:rFonts w:hint="eastAsia" w:ascii="宋体" w:hAnsi="宋体" w:eastAsia="宋体" w:cs="宋体"/>
                <w:b/>
                <w:bCs/>
              </w:rPr>
              <w:t xml:space="preserve">3业绩</w:t>
            </w:r>
            <w:r/>
          </w:p>
        </w:tc>
      </w:tr>
      <w:tr>
        <w:trPr>
          <w:jc w:val="center"/>
          <w:trHeight w:val="870"/>
        </w:trPr>
        <w:tc>
          <w:tcPr>
            <w:tcW w:w="519" w:type="dxa"/>
            <w:vAlign w:val="center"/>
            <w:textDirection w:val="lrTb"/>
            <w:noWrap/>
          </w:tcPr>
          <w:p>
            <w:pPr>
              <w:jc w:val="center"/>
              <w:spacing w:line="360" w:lineRule="auto"/>
              <w:rPr>
                <w:rFonts w:hint="eastAsia" w:ascii="宋体" w:hAnsi="宋体" w:eastAsia="宋体" w:cs="宋体"/>
                <w:spacing w:val="-2"/>
              </w:rPr>
            </w:pPr>
            <w:r>
              <w:rPr>
                <w:rFonts w:hint="eastAsia" w:ascii="宋体" w:hAnsi="宋体" w:eastAsia="宋体" w:cs="宋体"/>
                <w:spacing w:val="-2"/>
              </w:rPr>
              <w:t xml:space="preserve">3.1</w:t>
            </w:r>
            <w:r/>
          </w:p>
        </w:tc>
        <w:tc>
          <w:tcPr>
            <w:gridSpan w:val="2"/>
            <w:tcW w:w="1179"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供应商业绩</w:t>
            </w:r>
            <w:r/>
          </w:p>
        </w:tc>
        <w:tc>
          <w:tcPr>
            <w:tcW w:w="6597" w:type="dxa"/>
            <w:vAlign w:val="center"/>
            <w:textDirection w:val="lrTb"/>
            <w:noWrap/>
          </w:tcPr>
          <w:p>
            <w:pPr>
              <w:jc w:val="left"/>
              <w:rPr>
                <w:rFonts w:hint="eastAsia" w:ascii="宋体" w:hAnsi="宋体" w:eastAsia="宋体" w:cs="宋体"/>
              </w:rPr>
            </w:pPr>
            <w:r>
              <w:rPr>
                <w:rFonts w:hint="eastAsia" w:ascii="宋体" w:hAnsi="宋体" w:eastAsia="宋体" w:cs="宋体"/>
              </w:rPr>
              <w:t xml:space="preserve">供应商提供自 202</w:t>
            </w:r>
            <w:r>
              <w:rPr>
                <w:rFonts w:hint="eastAsia" w:ascii="宋体" w:hAnsi="宋体" w:eastAsia="宋体" w:cs="宋体"/>
                <w:lang w:val="en-US" w:eastAsia="zh-CN"/>
              </w:rPr>
              <w:t xml:space="preserve">2</w:t>
            </w:r>
            <w:r>
              <w:rPr>
                <w:rFonts w:hint="eastAsia" w:ascii="宋体" w:hAnsi="宋体" w:eastAsia="宋体" w:cs="宋体"/>
              </w:rPr>
              <w:t xml:space="preserve">年 </w:t>
            </w:r>
            <w:r>
              <w:rPr>
                <w:rFonts w:hint="eastAsia" w:ascii="宋体" w:hAnsi="宋体" w:eastAsia="宋体" w:cs="宋体"/>
                <w:lang w:val="en-US" w:eastAsia="zh-CN"/>
              </w:rPr>
              <w:t xml:space="preserve">11</w:t>
            </w:r>
            <w:r>
              <w:rPr>
                <w:rFonts w:hint="eastAsia" w:ascii="宋体" w:hAnsi="宋体" w:eastAsia="宋体" w:cs="宋体"/>
              </w:rPr>
              <w:t xml:space="preserve">月以来类似项目业绩，每提供一个业绩得3分，最多得</w:t>
            </w:r>
            <w:r>
              <w:rPr>
                <w:rFonts w:hint="eastAsia" w:ascii="宋体" w:hAnsi="宋体" w:eastAsia="宋体" w:cs="宋体"/>
                <w:lang w:val="en-US" w:eastAsia="zh-CN"/>
              </w:rPr>
              <w:t xml:space="preserve">9</w:t>
            </w:r>
            <w:r>
              <w:rPr>
                <w:rFonts w:hint="eastAsia" w:ascii="宋体" w:hAnsi="宋体" w:eastAsia="宋体" w:cs="宋体"/>
              </w:rPr>
              <w:t xml:space="preserve">分。（时间以合同签订时间为准，提供有效合同和中标通知书并加盖公章，二者缺一不可） </w:t>
            </w:r>
            <w:r/>
          </w:p>
        </w:tc>
        <w:tc>
          <w:tcPr>
            <w:tcW w:w="592" w:type="dxa"/>
            <w:vAlign w:val="center"/>
            <w:textDirection w:val="lrTb"/>
            <w:noWrap/>
          </w:tcPr>
          <w:p>
            <w:pPr>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9</w:t>
            </w:r>
            <w:r/>
          </w:p>
        </w:tc>
        <w:tc>
          <w:tcPr>
            <w:tcW w:w="534" w:type="dxa"/>
            <w:vAlign w:val="center"/>
            <w:textDirection w:val="lrTb"/>
            <w:noWrap/>
          </w:tcPr>
          <w:p>
            <w:pPr>
              <w:jc w:val="center"/>
              <w:spacing w:line="360" w:lineRule="auto"/>
              <w:rPr>
                <w:rFonts w:hint="eastAsia" w:ascii="宋体" w:hAnsi="宋体" w:eastAsia="宋体" w:cs="宋体"/>
              </w:rPr>
            </w:pPr>
            <w:r>
              <w:rPr>
                <w:rFonts w:hint="eastAsia" w:ascii="宋体" w:hAnsi="宋体" w:eastAsia="宋体" w:cs="宋体"/>
              </w:rPr>
              <w:t xml:space="preserve">客观分</w:t>
            </w:r>
            <w:r/>
          </w:p>
        </w:tc>
      </w:tr>
      <w:tr>
        <w:trPr>
          <w:jc w:val="center"/>
          <w:trHeight w:val="464"/>
        </w:trPr>
        <w:tc>
          <w:tcPr>
            <w:gridSpan w:val="6"/>
            <w:tcW w:w="9421" w:type="dxa"/>
            <w:vAlign w:val="center"/>
            <w:textDirection w:val="lrTb"/>
            <w:noWrap/>
          </w:tcPr>
          <w:p>
            <w:pPr>
              <w:spacing w:line="360" w:lineRule="auto"/>
              <w:rPr>
                <w:rFonts w:hint="eastAsia" w:ascii="宋体" w:hAnsi="宋体" w:eastAsia="宋体" w:cs="宋体"/>
                <w:b/>
                <w:color w:val="000000"/>
              </w:rPr>
            </w:pPr>
            <w:r>
              <w:rPr>
                <w:rFonts w:hint="eastAsia" w:ascii="宋体" w:hAnsi="宋体" w:eastAsia="宋体" w:cs="宋体"/>
                <w:b/>
                <w:spacing w:val="-3"/>
              </w:rPr>
              <w:t xml:space="preserve">4履约能力</w:t>
            </w:r>
            <w:r/>
          </w:p>
        </w:tc>
      </w:tr>
      <w:tr>
        <w:trPr>
          <w:jc w:val="center"/>
          <w:trHeight w:val="464"/>
        </w:trPr>
        <w:tc>
          <w:tcPr>
            <w:tcBorders>
              <w:right w:val="single" w:color="auto" w:sz="4" w:space="0"/>
            </w:tcBorders>
            <w:tcW w:w="519" w:type="dxa"/>
            <w:vAlign w:val="center"/>
            <w:textDirection w:val="lrTb"/>
            <w:noWrap/>
          </w:tcPr>
          <w:p>
            <w:pPr>
              <w:jc w:val="center"/>
              <w:spacing w:line="360" w:lineRule="auto"/>
              <w:rPr>
                <w:rFonts w:hint="eastAsia" w:ascii="宋体" w:hAnsi="宋体" w:eastAsia="宋体" w:cs="宋体"/>
                <w:b/>
                <w:spacing w:val="-3"/>
              </w:rPr>
            </w:pPr>
            <w:r>
              <w:rPr>
                <w:rFonts w:hint="eastAsia" w:ascii="宋体" w:hAnsi="宋体" w:eastAsia="宋体" w:cs="宋体"/>
                <w:b/>
                <w:spacing w:val="-3"/>
              </w:rPr>
              <w:t xml:space="preserve">4.1</w:t>
            </w:r>
            <w:r/>
          </w:p>
        </w:tc>
        <w:tc>
          <w:tcPr>
            <w:tcBorders>
              <w:left w:val="single" w:color="auto" w:sz="4" w:space="0"/>
              <w:right w:val="single" w:color="auto" w:sz="4" w:space="0"/>
            </w:tcBorders>
            <w:tcW w:w="1161" w:type="dxa"/>
            <w:vAlign w:val="center"/>
            <w:textDirection w:val="lrTb"/>
            <w:noWrap w:val="false"/>
          </w:tcPr>
          <w:p>
            <w:pPr>
              <w:jc w:val="center"/>
              <w:spacing w:line="360" w:lineRule="auto"/>
              <w:rPr>
                <w:rFonts w:hint="eastAsia" w:ascii="宋体" w:hAnsi="宋体" w:eastAsia="宋体" w:cs="宋体"/>
                <w:lang w:val="en-US" w:eastAsia="zh-CN"/>
              </w:rPr>
            </w:pPr>
            <w:r>
              <w:rPr>
                <w:rFonts w:hint="eastAsia" w:ascii="宋体" w:hAnsi="宋体" w:eastAsia="宋体" w:cs="宋体"/>
              </w:rPr>
              <w:t xml:space="preserve">履约能力</w:t>
            </w:r>
            <w:r>
              <w:rPr>
                <w:rFonts w:hint="eastAsia" w:ascii="宋体" w:hAnsi="宋体" w:eastAsia="宋体" w:cs="宋体"/>
                <w:lang w:eastAsia="zh-CN"/>
              </w:rPr>
              <w:t xml:space="preserve">（</w:t>
            </w:r>
            <w:r>
              <w:rPr>
                <w:rFonts w:hint="eastAsia" w:ascii="宋体" w:hAnsi="宋体" w:eastAsia="宋体" w:cs="宋体"/>
                <w:lang w:val="en-US" w:eastAsia="zh-CN"/>
              </w:rPr>
              <w:t xml:space="preserve">一</w:t>
            </w:r>
            <w:r>
              <w:rPr>
                <w:rFonts w:hint="eastAsia" w:ascii="宋体" w:hAnsi="宋体" w:eastAsia="宋体" w:cs="宋体"/>
                <w:lang w:eastAsia="zh-CN"/>
              </w:rPr>
              <w:t xml:space="preserve">）</w:t>
            </w:r>
            <w:r/>
          </w:p>
        </w:tc>
        <w:tc>
          <w:tcPr>
            <w:gridSpan w:val="2"/>
            <w:tcBorders>
              <w:left w:val="single" w:color="auto" w:sz="4" w:space="0"/>
              <w:right w:val="single" w:color="auto" w:sz="4" w:space="0"/>
            </w:tcBorders>
            <w:tcW w:w="6615"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t xml:space="preserve">除国家规定的必保险种，供应商承诺中标后额外为本次采购提供服务的车辆投保（企业自保项目不得分）：提供车上人员责任险（3万元/座及以上、至少5座）得3分、提供车辆自燃险得3分、提供发动机涉水险得3分，此项最多得9分，提供承诺函原件，不提供不得分。</w:t>
            </w:r>
            <w:r/>
          </w:p>
        </w:tc>
        <w:tc>
          <w:tcPr>
            <w:tcBorders>
              <w:left w:val="single" w:color="auto" w:sz="4" w:space="0"/>
              <w:right w:val="single" w:color="auto" w:sz="4" w:space="0"/>
            </w:tcBorders>
            <w:tcW w:w="592" w:type="dxa"/>
            <w:vAlign w:val="center"/>
            <w:textDirection w:val="lrTb"/>
            <w:noWrap w:val="false"/>
          </w:tcPr>
          <w:p>
            <w:pPr>
              <w:ind w:firstLine="204"/>
              <w:spacing w:line="360" w:lineRule="auto"/>
              <w:rPr>
                <w:rFonts w:hint="eastAsia" w:ascii="宋体" w:hAnsi="宋体" w:eastAsia="宋体" w:cs="宋体"/>
                <w:spacing w:val="-3"/>
                <w:lang w:eastAsia="zh-CN"/>
              </w:rPr>
            </w:pPr>
            <w:r>
              <w:rPr>
                <w:rFonts w:hint="eastAsia" w:ascii="宋体" w:hAnsi="宋体" w:eastAsia="宋体" w:cs="宋体"/>
                <w:spacing w:val="-3"/>
                <w:lang w:val="en-US" w:eastAsia="zh-CN"/>
              </w:rPr>
              <w:t xml:space="preserve">9</w:t>
            </w:r>
            <w:r/>
          </w:p>
        </w:tc>
        <w:tc>
          <w:tcPr>
            <w:tcBorders>
              <w:left w:val="single" w:color="auto" w:sz="4" w:space="0"/>
            </w:tcBorders>
            <w:tcW w:w="534" w:type="dxa"/>
            <w:vAlign w:val="center"/>
            <w:textDirection w:val="lrTb"/>
            <w:noWrap w:val="false"/>
          </w:tcPr>
          <w:p>
            <w:pPr>
              <w:jc w:val="center"/>
              <w:spacing w:line="360" w:lineRule="auto"/>
              <w:rPr>
                <w:rFonts w:hint="eastAsia" w:ascii="宋体" w:hAnsi="宋体" w:eastAsia="宋体" w:cs="宋体"/>
                <w:spacing w:val="-3"/>
              </w:rPr>
            </w:pPr>
            <w:r>
              <w:rPr>
                <w:rFonts w:hint="eastAsia" w:ascii="宋体" w:hAnsi="宋体" w:eastAsia="宋体" w:cs="宋体"/>
                <w:spacing w:val="-3"/>
              </w:rPr>
              <w:t xml:space="preserve">客观分</w:t>
            </w:r>
            <w:r/>
          </w:p>
        </w:tc>
      </w:tr>
      <w:tr>
        <w:trPr>
          <w:jc w:val="center"/>
          <w:trHeight w:val="1649"/>
        </w:trPr>
        <w:tc>
          <w:tcPr>
            <w:tcBorders>
              <w:right w:val="single" w:color="auto" w:sz="4" w:space="0"/>
            </w:tcBorders>
            <w:tcW w:w="519" w:type="dxa"/>
            <w:vAlign w:val="center"/>
            <w:textDirection w:val="lrTb"/>
            <w:noWrap/>
          </w:tcPr>
          <w:p>
            <w:pPr>
              <w:jc w:val="center"/>
              <w:spacing w:line="360" w:lineRule="auto"/>
              <w:rPr>
                <w:rFonts w:hint="eastAsia" w:ascii="宋体" w:hAnsi="宋体" w:eastAsia="宋体" w:cs="宋体"/>
                <w:b/>
                <w:spacing w:val="-3"/>
                <w:lang w:val="en-US" w:eastAsia="zh-CN"/>
              </w:rPr>
            </w:pPr>
            <w:r>
              <w:rPr>
                <w:rFonts w:hint="eastAsia" w:ascii="宋体" w:hAnsi="宋体" w:eastAsia="宋体" w:cs="宋体"/>
                <w:b/>
                <w:spacing w:val="-3"/>
                <w:lang w:val="en-US" w:eastAsia="zh-CN"/>
              </w:rPr>
              <w:t xml:space="preserve">4.2</w:t>
            </w:r>
            <w:r/>
          </w:p>
        </w:tc>
        <w:tc>
          <w:tcPr>
            <w:tcBorders>
              <w:left w:val="single" w:color="auto" w:sz="4" w:space="0"/>
              <w:right w:val="single" w:color="auto" w:sz="4" w:space="0"/>
            </w:tcBorders>
            <w:tcW w:w="1161" w:type="dxa"/>
            <w:vAlign w:val="center"/>
            <w:textDirection w:val="lrTb"/>
            <w:noWrap w:val="false"/>
          </w:tcPr>
          <w:p>
            <w:pPr>
              <w:jc w:val="center"/>
              <w:spacing w:line="360" w:lineRule="auto"/>
              <w:rPr>
                <w:rFonts w:hint="eastAsia" w:ascii="宋体" w:hAnsi="宋体" w:eastAsia="宋体" w:cs="宋体"/>
                <w:lang w:eastAsia="zh-CN"/>
              </w:rPr>
            </w:pPr>
            <w:r>
              <w:rPr>
                <w:rFonts w:hint="eastAsia" w:ascii="宋体" w:hAnsi="宋体" w:eastAsia="宋体" w:cs="宋体"/>
              </w:rPr>
              <w:t xml:space="preserve">履约能力</w:t>
            </w:r>
            <w:r>
              <w:rPr>
                <w:rFonts w:hint="eastAsia" w:ascii="宋体" w:hAnsi="宋体" w:eastAsia="宋体" w:cs="宋体"/>
                <w:lang w:eastAsia="zh-CN"/>
              </w:rPr>
              <w:t xml:space="preserve">（</w:t>
            </w:r>
            <w:r>
              <w:rPr>
                <w:rFonts w:hint="eastAsia" w:ascii="宋体" w:hAnsi="宋体" w:eastAsia="宋体" w:cs="宋体"/>
                <w:lang w:val="en-US" w:eastAsia="zh-CN"/>
              </w:rPr>
              <w:t xml:space="preserve">二</w:t>
            </w:r>
            <w:r>
              <w:rPr>
                <w:rFonts w:hint="eastAsia" w:ascii="宋体" w:hAnsi="宋体" w:eastAsia="宋体" w:cs="宋体"/>
                <w:lang w:eastAsia="zh-CN"/>
              </w:rPr>
              <w:t xml:space="preserve">）</w:t>
            </w:r>
            <w:r/>
          </w:p>
        </w:tc>
        <w:tc>
          <w:tcPr>
            <w:gridSpan w:val="2"/>
            <w:tcBorders>
              <w:left w:val="single" w:color="auto" w:sz="4" w:space="0"/>
              <w:right w:val="single" w:color="auto" w:sz="4" w:space="0"/>
            </w:tcBorders>
            <w:tcW w:w="6615"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rPr>
              <w:t xml:space="preserve">供应商承诺提供备用车：如因交通事故造成车辆维修或事故解决时间超过五天、正常使用情况下车辆发生故障经4S店或定点维修厂鉴定维修时间超过两天的，提供同级别备车免费使用得4分，提供承诺函原件，不提供不得分。</w:t>
            </w:r>
            <w:r/>
          </w:p>
        </w:tc>
        <w:tc>
          <w:tcPr>
            <w:tcBorders>
              <w:left w:val="single" w:color="auto" w:sz="4" w:space="0"/>
              <w:right w:val="single" w:color="auto" w:sz="4" w:space="0"/>
            </w:tcBorders>
            <w:tcW w:w="592" w:type="dxa"/>
            <w:vAlign w:val="center"/>
            <w:textDirection w:val="lrTb"/>
            <w:noWrap w:val="false"/>
          </w:tcPr>
          <w:p>
            <w:pPr>
              <w:ind w:firstLine="204"/>
              <w:spacing w:line="360" w:lineRule="auto"/>
              <w:rPr>
                <w:rFonts w:hint="eastAsia" w:ascii="宋体" w:hAnsi="宋体" w:eastAsia="宋体" w:cs="宋体"/>
                <w:spacing w:val="-3"/>
                <w:lang w:val="en-US" w:eastAsia="zh-CN"/>
              </w:rPr>
            </w:pPr>
            <w:r>
              <w:rPr>
                <w:rFonts w:hint="eastAsia" w:ascii="宋体" w:hAnsi="宋体" w:eastAsia="宋体" w:cs="宋体"/>
                <w:spacing w:val="-3"/>
                <w:lang w:val="en-US" w:eastAsia="zh-CN"/>
              </w:rPr>
              <w:t xml:space="preserve">4</w:t>
            </w:r>
            <w:r/>
          </w:p>
        </w:tc>
        <w:tc>
          <w:tcPr>
            <w:tcBorders>
              <w:left w:val="single" w:color="auto" w:sz="4" w:space="0"/>
            </w:tcBorders>
            <w:tcW w:w="534" w:type="dxa"/>
            <w:vAlign w:val="center"/>
            <w:textDirection w:val="lrTb"/>
            <w:noWrap w:val="false"/>
          </w:tcPr>
          <w:p>
            <w:pPr>
              <w:jc w:val="center"/>
              <w:spacing w:line="360" w:lineRule="auto"/>
              <w:rPr>
                <w:rFonts w:hint="eastAsia" w:ascii="宋体" w:hAnsi="宋体" w:eastAsia="宋体" w:cs="宋体"/>
                <w:spacing w:val="-3"/>
                <w:lang w:val="en-US" w:eastAsia="zh-CN"/>
              </w:rPr>
            </w:pPr>
            <w:r>
              <w:rPr>
                <w:rFonts w:hint="eastAsia" w:ascii="宋体" w:hAnsi="宋体" w:eastAsia="宋体" w:cs="宋体"/>
                <w:spacing w:val="-3"/>
                <w:lang w:val="en-US" w:eastAsia="zh-CN"/>
              </w:rPr>
              <w:t xml:space="preserve">客观分</w:t>
            </w:r>
            <w:r/>
          </w:p>
        </w:tc>
      </w:tr>
      <w:tr>
        <w:trPr>
          <w:jc w:val="center"/>
          <w:trHeight w:val="1570"/>
        </w:trPr>
        <w:tc>
          <w:tcPr>
            <w:tcBorders>
              <w:right w:val="single" w:color="auto" w:sz="4" w:space="0"/>
            </w:tcBorders>
            <w:tcW w:w="519" w:type="dxa"/>
            <w:vAlign w:val="center"/>
            <w:textDirection w:val="lrTb"/>
            <w:noWrap/>
          </w:tcPr>
          <w:p>
            <w:pPr>
              <w:jc w:val="center"/>
              <w:spacing w:line="360" w:lineRule="auto"/>
              <w:rPr>
                <w:rFonts w:hint="eastAsia" w:ascii="宋体" w:hAnsi="宋体" w:eastAsia="宋体" w:cs="宋体"/>
                <w:b/>
                <w:spacing w:val="-3"/>
                <w:lang w:val="en-US" w:eastAsia="zh-CN"/>
              </w:rPr>
            </w:pPr>
            <w:r>
              <w:rPr>
                <w:rFonts w:hint="eastAsia" w:ascii="宋体" w:hAnsi="宋体" w:eastAsia="宋体" w:cs="宋体"/>
                <w:b/>
                <w:spacing w:val="-3"/>
                <w:lang w:val="en-US" w:eastAsia="zh-CN"/>
              </w:rPr>
              <w:t xml:space="preserve">4.3</w:t>
            </w:r>
            <w:r/>
          </w:p>
        </w:tc>
        <w:tc>
          <w:tcPr>
            <w:tcBorders>
              <w:left w:val="single" w:color="auto" w:sz="4" w:space="0"/>
              <w:right w:val="single" w:color="auto" w:sz="4" w:space="0"/>
            </w:tcBorders>
            <w:tcW w:w="1161"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履约能力</w:t>
            </w:r>
            <w:r>
              <w:rPr>
                <w:rFonts w:hint="eastAsia" w:ascii="宋体" w:hAnsi="宋体" w:eastAsia="宋体" w:cs="宋体"/>
                <w:lang w:eastAsia="zh-CN"/>
              </w:rPr>
              <w:t xml:space="preserve">（</w:t>
            </w:r>
            <w:r>
              <w:rPr>
                <w:rFonts w:hint="eastAsia" w:ascii="宋体" w:hAnsi="宋体" w:eastAsia="宋体" w:cs="宋体"/>
                <w:lang w:val="en-US" w:eastAsia="zh-CN"/>
              </w:rPr>
              <w:t xml:space="preserve">三</w:t>
            </w:r>
            <w:r>
              <w:rPr>
                <w:rFonts w:hint="eastAsia" w:ascii="宋体" w:hAnsi="宋体" w:eastAsia="宋体" w:cs="宋体"/>
                <w:lang w:eastAsia="zh-CN"/>
              </w:rPr>
              <w:t xml:space="preserve">）</w:t>
            </w:r>
            <w:r/>
          </w:p>
        </w:tc>
        <w:tc>
          <w:tcPr>
            <w:gridSpan w:val="2"/>
            <w:tcBorders>
              <w:left w:val="single" w:color="auto" w:sz="4" w:space="0"/>
              <w:right w:val="single" w:color="auto" w:sz="4" w:space="0"/>
            </w:tcBorders>
            <w:tcW w:w="6615"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lang w:val="en-US" w:eastAsia="zh-CN"/>
              </w:rPr>
              <w:t xml:space="preserve">供应商须提供备用驾驶员1名且具备A2及以上驾照（车辆发生故障或事故时，提供送车、换车服务），有得3分，没有不得分，提供相关证明材料复印件并加盖公章（驾驶员必须为本单位职工，提供社保及劳动合同相关证明）。</w:t>
            </w:r>
            <w:r/>
          </w:p>
        </w:tc>
        <w:tc>
          <w:tcPr>
            <w:tcBorders>
              <w:left w:val="single" w:color="auto" w:sz="4" w:space="0"/>
              <w:right w:val="single" w:color="auto" w:sz="4" w:space="0"/>
            </w:tcBorders>
            <w:tcW w:w="592" w:type="dxa"/>
            <w:vAlign w:val="center"/>
            <w:textDirection w:val="lrTb"/>
            <w:noWrap w:val="false"/>
          </w:tcPr>
          <w:p>
            <w:pPr>
              <w:ind w:firstLine="204"/>
              <w:spacing w:line="360" w:lineRule="auto"/>
              <w:rPr>
                <w:rFonts w:hint="eastAsia" w:ascii="宋体" w:hAnsi="宋体" w:eastAsia="宋体" w:cs="宋体"/>
                <w:spacing w:val="-3"/>
                <w:lang w:val="en-US" w:eastAsia="zh-CN"/>
              </w:rPr>
            </w:pPr>
            <w:r>
              <w:rPr>
                <w:rFonts w:hint="eastAsia" w:ascii="宋体" w:hAnsi="宋体" w:eastAsia="宋体" w:cs="宋体"/>
                <w:spacing w:val="-3"/>
                <w:lang w:val="en-US" w:eastAsia="zh-CN"/>
              </w:rPr>
              <w:t xml:space="preserve">3</w:t>
            </w:r>
            <w:r/>
          </w:p>
        </w:tc>
        <w:tc>
          <w:tcPr>
            <w:tcBorders>
              <w:left w:val="single" w:color="auto" w:sz="4" w:space="0"/>
            </w:tcBorders>
            <w:tcW w:w="534" w:type="dxa"/>
            <w:vAlign w:val="center"/>
            <w:textDirection w:val="lrTb"/>
            <w:noWrap w:val="false"/>
          </w:tcPr>
          <w:p>
            <w:pPr>
              <w:jc w:val="center"/>
              <w:spacing w:line="360" w:lineRule="auto"/>
              <w:rPr>
                <w:rFonts w:hint="eastAsia" w:ascii="宋体" w:hAnsi="宋体" w:eastAsia="宋体" w:cs="宋体"/>
                <w:spacing w:val="-3"/>
                <w:lang w:val="en-US" w:eastAsia="zh-CN"/>
              </w:rPr>
            </w:pPr>
            <w:r>
              <w:rPr>
                <w:rFonts w:hint="eastAsia" w:ascii="宋体" w:hAnsi="宋体" w:eastAsia="宋体" w:cs="宋体"/>
                <w:spacing w:val="-3"/>
                <w:lang w:val="en-US" w:eastAsia="zh-CN"/>
              </w:rPr>
              <w:t xml:space="preserve">客观分</w:t>
            </w:r>
            <w:r/>
          </w:p>
        </w:tc>
      </w:tr>
      <w:tr>
        <w:trPr>
          <w:jc w:val="center"/>
          <w:trHeight w:val="464"/>
        </w:trPr>
        <w:tc>
          <w:tcPr>
            <w:tcW w:w="519" w:type="dxa"/>
            <w:vAlign w:val="center"/>
            <w:textDirection w:val="lrTb"/>
            <w:noWrap/>
          </w:tcPr>
          <w:p>
            <w:pPr>
              <w:jc w:val="center"/>
              <w:spacing w:line="360" w:lineRule="auto"/>
              <w:rPr>
                <w:rFonts w:hint="eastAsia" w:ascii="宋体" w:hAnsi="宋体" w:eastAsia="宋体" w:cs="宋体"/>
                <w:spacing w:val="-3"/>
              </w:rPr>
            </w:pPr>
            <w:r>
              <w:rPr>
                <w:rFonts w:hint="eastAsia" w:ascii="宋体" w:hAnsi="宋体" w:eastAsia="宋体" w:cs="宋体"/>
                <w:spacing w:val="-3"/>
              </w:rPr>
              <w:t xml:space="preserve">合</w:t>
            </w:r>
            <w:r>
              <w:rPr>
                <w:rFonts w:hint="eastAsia" w:ascii="宋体" w:hAnsi="宋体" w:eastAsia="宋体" w:cs="宋体"/>
                <w:spacing w:val="-2"/>
              </w:rPr>
              <w:t xml:space="preserve">计</w:t>
            </w:r>
            <w:r/>
          </w:p>
        </w:tc>
        <w:tc>
          <w:tcPr>
            <w:gridSpan w:val="3"/>
            <w:tcW w:w="7776" w:type="dxa"/>
            <w:vAlign w:val="center"/>
            <w:textDirection w:val="lrTb"/>
            <w:noWrap/>
          </w:tcPr>
          <w:p>
            <w:pPr>
              <w:jc w:val="center"/>
              <w:spacing w:line="360" w:lineRule="auto"/>
              <w:rPr>
                <w:rFonts w:hint="eastAsia" w:ascii="宋体" w:hAnsi="宋体" w:eastAsia="宋体" w:cs="宋体"/>
                <w:color w:val="ff0000"/>
                <w:spacing w:val="-2"/>
              </w:rPr>
            </w:pPr>
            <w:r>
              <w:rPr>
                <w:rFonts w:hint="eastAsia" w:ascii="宋体" w:hAnsi="宋体" w:eastAsia="宋体" w:cs="宋体"/>
                <w:color w:val="ff0000"/>
                <w:spacing w:val="-2"/>
              </w:rPr>
            </w:r>
            <w:r/>
          </w:p>
        </w:tc>
        <w:tc>
          <w:tcPr>
            <w:gridSpan w:val="2"/>
            <w:tcW w:w="1126" w:type="dxa"/>
            <w:vAlign w:val="center"/>
            <w:textDirection w:val="lrTb"/>
            <w:noWrap/>
          </w:tcPr>
          <w:p>
            <w:pPr>
              <w:jc w:val="center"/>
              <w:spacing w:line="360" w:lineRule="auto"/>
              <w:rPr>
                <w:rFonts w:hint="eastAsia" w:ascii="宋体" w:hAnsi="宋体" w:eastAsia="宋体" w:cs="宋体"/>
                <w:color w:val="000000"/>
                <w:spacing w:val="-11"/>
              </w:rPr>
            </w:pPr>
            <w:r>
              <w:rPr>
                <w:rFonts w:hint="eastAsia" w:ascii="宋体" w:hAnsi="宋体" w:eastAsia="宋体" w:cs="宋体"/>
                <w:color w:val="000000"/>
                <w:spacing w:val="-11"/>
              </w:rPr>
              <w:t xml:space="preserve">100分</w:t>
            </w:r>
            <w:r/>
          </w:p>
        </w:tc>
      </w:tr>
    </w:tbl>
    <w:p>
      <w:pPr>
        <w:rPr>
          <w:rFonts w:hint="eastAsia"/>
          <w:lang w:eastAsia="zh-CN"/>
        </w:rPr>
      </w:pPr>
      <w:r>
        <w:rPr>
          <w:rFonts w:hint="eastAsia"/>
          <w:lang w:eastAsia="zh-CN"/>
        </w:rPr>
        <w:br w:type="page" w:clear="all"/>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w:t>
      </w:r>
      <w:bookmarkEnd w:id="16"/>
      <w:r/>
      <w:bookmarkEnd w:id="17"/>
      <w:r/>
      <w:bookmarkEnd w:id="18"/>
      <w:r>
        <w:rPr>
          <w:rFonts w:hint="eastAsia" w:ascii="方正小标宋简体" w:hAnsi="方正小标宋简体" w:eastAsia="方正小标宋简体" w:cs="方正小标宋简体"/>
          <w:color w:val="000000"/>
          <w:sz w:val="36"/>
          <w:szCs w:val="36"/>
          <w:lang w:val="en-US" w:eastAsia="zh-CN"/>
        </w:rPr>
        <w:t xml:space="preserve">响应文件格式 </w:t>
      </w:r>
      <w:r/>
    </w:p>
    <w:p>
      <w:pPr>
        <w:jc w:val="center"/>
        <w:rPr>
          <w:rFonts w:hint="eastAsia" w:ascii="宋体" w:hAnsi="宋体"/>
          <w:b/>
          <w:sz w:val="72"/>
          <w:szCs w:val="21"/>
        </w:rPr>
      </w:pPr>
      <w:r/>
      <w:bookmarkStart w:id="22" w:name="_Hlt26955039"/>
      <w:r/>
      <w:bookmarkEnd w:id="22"/>
      <w:r/>
      <w:bookmarkStart w:id="23" w:name="_Hlt26671244"/>
      <w:r/>
      <w:bookmarkEnd w:id="23"/>
      <w:r/>
      <w:bookmarkStart w:id="24" w:name="_Toc49090576"/>
      <w:r/>
      <w:bookmarkStart w:id="25" w:name="_Toc120614282"/>
      <w:r/>
      <w:bookmarkStart w:id="26"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磋商报价明细表</w:t>
      </w:r>
      <w:r/>
    </w:p>
    <w:p>
      <w:pPr>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cs="Times New Roman"/>
          <w:color w:val="000000"/>
          <w:sz w:val="24"/>
          <w:szCs w:val="24"/>
          <w:lang w:val="en-US" w:eastAsia="zh-CN"/>
        </w:rPr>
        <w:t xml:space="preserve">浦口分中心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6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1029"/>
        <w:rPr>
          <w:rFonts w:hint="eastAsia"/>
        </w:rPr>
      </w:pPr>
      <w:r>
        <w:rPr>
          <w:rFonts w:hint="eastAsia"/>
        </w:rPr>
      </w:r>
      <w:bookmarkEnd w:id="24"/>
      <w:r/>
      <w:bookmarkEnd w:id="25"/>
      <w:r/>
      <w:bookmarkEnd w:id="26"/>
      <w:r/>
      <w:r/>
    </w:p>
    <w:p>
      <w:pPr>
        <w:rPr>
          <w:rFonts w:hint="eastAsia" w:ascii="黑体" w:hAnsi="黑体" w:eastAsia="黑体" w:cs="Times New Roman"/>
          <w:i w:val="0"/>
          <w:color w:val="000000"/>
          <w:sz w:val="32"/>
          <w:szCs w:val="32"/>
          <w:u w:val="none"/>
          <w:lang w:val="en-US" w:eastAsia="zh-CN"/>
        </w:rPr>
      </w:pPr>
      <w:r/>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1038"/>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1038"/>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1038"/>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1038"/>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1038"/>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38"/>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1038"/>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8" w:name="_Hlt26671380"/>
      <w:r/>
      <w:bookmarkEnd w:id="28"/>
      <w:r/>
      <w:bookmarkStart w:id="29" w:name="_格式3__银行出具的资信证明"/>
      <w:r/>
      <w:bookmarkEnd w:id="29"/>
      <w:r/>
      <w:bookmarkStart w:id="30" w:name="_Hlt26955070"/>
      <w:r/>
      <w:bookmarkEnd w:id="30"/>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771"/>
        <w:rPr>
          <w:rFonts w:hint="eastAsia"/>
        </w:rPr>
      </w:pPr>
      <w:r>
        <w:rPr>
          <w:rFonts w:hint="eastAsia"/>
        </w:rPr>
      </w:r>
      <w:r>
        <w:rPr>
          <w:rFonts w:hint="eastAsia"/>
        </w:rPr>
      </w:r>
      <w:r/>
    </w:p>
    <w:p>
      <w:pPr>
        <w:pStyle w:val="771"/>
        <w:rPr>
          <w:rFonts w:hint="eastAsia"/>
        </w:rPr>
      </w:pPr>
      <w:r>
        <w:rPr>
          <w:rFonts w:hint="eastAsia"/>
        </w:rPr>
      </w:r>
      <w:r/>
    </w:p>
    <w:p>
      <w:pPr>
        <w:rPr>
          <w:rFonts w:hint="eastAsia"/>
        </w:rPr>
      </w:pPr>
      <w:r>
        <w:rPr>
          <w:rFonts w:hint="eastAsia"/>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p>
    <w:p>
      <w:pPr>
        <w:pStyle w:val="1040"/>
        <w:ind w:firstLine="480"/>
        <w:keepLines w:val="0"/>
        <w:keepNext w:val="0"/>
        <w:pageBreakBefore w:val="0"/>
        <w:spacing w:before="0" w:after="0" w:line="360" w:lineRule="auto"/>
        <w:widowControl w:val="off"/>
        <w:rPr>
          <w:rFonts w:hint="eastAsia" w:ascii="宋体" w:hAnsi="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南京市公共资源交易中心浦口分中心</w:t>
      </w:r>
      <w:r/>
    </w:p>
    <w:p>
      <w:pPr>
        <w:pStyle w:val="1040"/>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104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1040"/>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104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104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104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1040"/>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40"/>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                                 </w:t>
      </w:r>
      <w:r/>
    </w:p>
    <w:tbl>
      <w:tblPr>
        <w:tblStyle w:val="776"/>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pageBreakBefore w:val="0"/>
              <w:spacing w:before="0" w:beforeAutospacing="0" w:after="0" w:afterAutospacing="0" w:line="480" w:lineRule="auto"/>
              <w:widowControl w:val="off"/>
              <w:rPr>
                <w:rFonts w:hint="eastAsia" w:ascii="宋体" w:hAnsi="宋体"/>
                <w:sz w:val="24"/>
                <w:szCs w:val="24"/>
              </w:rPr>
              <w:suppressLineNumbers w:val="0"/>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040"/>
              <w:ind w:left="0" w:right="0" w:firstLine="0"/>
              <w:keepLines w:val="0"/>
              <w:keepNext w:val="0"/>
              <w:pageBreakBefore w:val="0"/>
              <w:spacing w:before="0" w:beforeAutospacing="0" w:after="0" w:afterAutospacing="0" w:line="480" w:lineRule="auto"/>
              <w:widowControl w:val="off"/>
              <w:rPr>
                <w:rFonts w:hint="eastAsia" w:ascii="宋体" w:hAnsi="宋体"/>
                <w:szCs w:val="21"/>
              </w:rPr>
              <w:suppressLineNumbers w:val="0"/>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1029"/>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102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102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102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102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1029"/>
        <w:ind w:left="0" w:firstLine="0"/>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7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8"/>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磋商报价明细表</w:t>
      </w:r>
      <w:r/>
    </w:p>
    <w:p>
      <w:pPr>
        <w:ind w:firstLine="4320"/>
        <w:keepLines w:val="0"/>
        <w:keepNext w:val="0"/>
        <w:pageBreakBefore w:val="0"/>
        <w:spacing w:line="480" w:lineRule="auto"/>
        <w:widowControl w:val="off"/>
        <w:rPr>
          <w:rFonts w:hint="eastAsia" w:ascii="宋体" w:hAnsi="宋体"/>
          <w:sz w:val="24"/>
          <w:szCs w:val="24"/>
          <w:lang w:val="en-US" w:eastAsia="zh-CN"/>
        </w:rPr>
      </w:pPr>
      <w:r/>
      <w:bookmarkStart w:id="31" w:name="_Toc4269"/>
      <w:r/>
      <w:bookmarkEnd w:id="31"/>
      <w:r>
        <w:rPr>
          <w:rFonts w:hint="eastAsia" w:ascii="宋体" w:hAnsi="宋体"/>
          <w:sz w:val="24"/>
          <w:szCs w:val="24"/>
          <w:lang w:val="en-US" w:eastAsia="zh-CN"/>
        </w:rPr>
        <w:t xml:space="preserve">磋商报价明细表</w:t>
      </w:r>
      <w:r/>
    </w:p>
    <w:tbl>
      <w:tblPr>
        <w:tblStyle w:val="776"/>
        <w:tblW w:w="10117"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4"/>
        <w:gridCol w:w="2894"/>
        <w:gridCol w:w="1050"/>
        <w:gridCol w:w="675"/>
        <w:gridCol w:w="675"/>
        <w:gridCol w:w="1095"/>
        <w:gridCol w:w="1110"/>
        <w:gridCol w:w="1844"/>
      </w:tblGrid>
      <w:tr>
        <w:trPr>
          <w:trHeight w:val="1856"/>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89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月 租 金</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年 租 金（元）</w:t>
            </w:r>
            <w:r/>
          </w:p>
        </w:tc>
        <w:tc>
          <w:tcPr>
            <w:shd w:val="clear" w:color="auto" w:fill="auto"/>
            <w:tcBorders>
              <w:top w:val="single" w:color="auto"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备注</w:t>
            </w:r>
            <w:r/>
          </w:p>
          <w:p>
            <w:pPr>
              <w:ind w:left="0" w:right="0" w:firstLine="0"/>
              <w:jc w:val="center"/>
              <w:keepLines w:val="0"/>
              <w:keepNext w:val="0"/>
              <w:pageBreakBefore w:val="0"/>
              <w:spacing w:before="0" w:beforeAutospacing="0" w:after="0" w:afterAutospacing="0" w:line="360" w:lineRule="auto"/>
              <w:widowControl w:val="off"/>
              <w:rPr>
                <w:rFonts w:hint="default"/>
                <w:lang w:val="en-US" w:eastAsia="zh-CN"/>
              </w:rPr>
              <w:suppressLineNumbers w:val="0"/>
            </w:pPr>
            <w:r>
              <w:rPr>
                <w:rFonts w:hint="eastAsia" w:ascii="宋体" w:hAnsi="宋体"/>
                <w:sz w:val="24"/>
                <w:szCs w:val="24"/>
                <w:lang w:val="en-US" w:eastAsia="zh-CN"/>
              </w:rPr>
              <w:t xml:space="preserve">（品牌）</w:t>
            </w:r>
            <w:r/>
          </w:p>
        </w:tc>
      </w:tr>
      <w:tr>
        <w:trPr>
          <w:trHeight w:val="853"/>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894"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default" w:ascii="宋体" w:hAnsi="宋体"/>
                <w:sz w:val="24"/>
                <w:szCs w:val="24"/>
                <w:lang w:val="en-US" w:eastAsia="zh-CN"/>
              </w:rPr>
              <w:suppressLineNumbers w:val="0"/>
            </w:pPr>
            <w:r>
              <w:rPr>
                <w:rFonts w:hint="eastAsia" w:ascii="宋体" w:hAnsi="宋体" w:eastAsia="宋体" w:cs="Times New Roman"/>
                <w:color w:val="000000"/>
                <w:sz w:val="24"/>
                <w:szCs w:val="24"/>
                <w:lang w:val="en-US" w:eastAsia="zh-CN"/>
              </w:rPr>
              <w:t xml:space="preserve">11座</w:t>
            </w:r>
            <w:r>
              <w:rPr>
                <w:rFonts w:hint="eastAsia" w:ascii="宋体" w:hAnsi="宋体" w:cs="Times New Roman"/>
                <w:color w:val="000000"/>
                <w:sz w:val="24"/>
                <w:szCs w:val="24"/>
                <w:lang w:val="en-US" w:eastAsia="zh-CN"/>
              </w:rPr>
              <w:t xml:space="preserve">轻型商务客车</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燃油</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辆</w:t>
            </w:r>
            <w:r/>
          </w:p>
        </w:tc>
        <w:tc>
          <w:tcPr>
            <w:shd w:val="clear" w:color="auto" w:fill="auto"/>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r>
      <w:tr>
        <w:trPr>
          <w:trHeight w:val="853"/>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sz w:val="24"/>
                <w:szCs w:val="24"/>
                <w:lang w:val="en-US" w:eastAsia="zh-CN"/>
              </w:rPr>
              <w:suppressLineNumbers w:val="0"/>
            </w:pPr>
            <w:r>
              <w:rPr>
                <w:rFonts w:hint="eastAsia" w:ascii="宋体" w:hAnsi="宋体"/>
                <w:sz w:val="24"/>
                <w:szCs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894"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eastAsia="宋体" w:cs="Times New Roman"/>
                <w:color w:val="000000"/>
                <w:sz w:val="24"/>
                <w:szCs w:val="24"/>
                <w:lang w:val="en-US" w:eastAsia="zh-CN"/>
              </w:rPr>
              <w:t xml:space="preserve">17座</w:t>
            </w:r>
            <w:r>
              <w:rPr>
                <w:rFonts w:hint="eastAsia" w:ascii="宋体" w:hAnsi="宋体" w:cs="Times New Roman"/>
                <w:color w:val="000000"/>
                <w:sz w:val="24"/>
                <w:szCs w:val="24"/>
                <w:lang w:val="en-US" w:eastAsia="zh-CN"/>
              </w:rPr>
              <w:t xml:space="preserve">中型商务客车</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燃油</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sz w:val="24"/>
                <w:szCs w:val="24"/>
                <w:lang w:val="en-US" w:eastAsia="zh-CN"/>
              </w:rPr>
              <w:suppressLineNumbers w:val="0"/>
            </w:pPr>
            <w:r>
              <w:rPr>
                <w:rFonts w:hint="eastAsia" w:ascii="宋体" w:hAnsi="宋体"/>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辆</w:t>
            </w:r>
            <w:r/>
          </w:p>
        </w:tc>
        <w:tc>
          <w:tcPr>
            <w:shd w:val="clear" w:color="auto" w:fill="auto"/>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r>
      <w:tr>
        <w:trPr>
          <w:trHeight w:val="933"/>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894"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eastAsia="宋体" w:cs="Times New Roman"/>
                <w:color w:val="000000"/>
                <w:sz w:val="24"/>
                <w:szCs w:val="24"/>
                <w:lang w:val="en-US" w:eastAsia="zh-CN"/>
              </w:rPr>
              <w:t xml:space="preserve">两驱皮卡</w:t>
            </w:r>
            <w:r>
              <w:rPr>
                <w:rFonts w:hint="eastAsia" w:ascii="宋体" w:hAnsi="宋体" w:cs="Times New Roman"/>
                <w:color w:val="000000"/>
                <w:sz w:val="24"/>
                <w:szCs w:val="24"/>
                <w:lang w:val="en-US" w:eastAsia="zh-CN"/>
              </w:rPr>
              <w:t xml:space="preserve">系列</w:t>
            </w:r>
            <w:r/>
          </w:p>
        </w:tc>
        <w:tc>
          <w:tcPr>
            <w:shd w:val="clear" w:color="auto" w:fill="auto"/>
            <w:tcBorders>
              <w:top w:val="none" w:color="000000"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燃油</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sz w:val="24"/>
                <w:szCs w:val="24"/>
                <w:lang w:val="en-US" w:eastAsia="zh-CN"/>
              </w:rPr>
              <w:suppressLineNumbers w:val="0"/>
            </w:pPr>
            <w:r>
              <w:rPr>
                <w:rFonts w:hint="eastAsia" w:ascii="宋体" w:hAnsi="宋体"/>
                <w:sz w:val="24"/>
                <w:szCs w:val="24"/>
                <w:lang w:val="en-US" w:eastAsia="zh-CN"/>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辆</w:t>
            </w:r>
            <w:r/>
          </w:p>
        </w:tc>
        <w:tc>
          <w:tcPr>
            <w:shd w:val="clear" w:color="auto" w:fill="auto"/>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r>
      <w:tr>
        <w:trPr>
          <w:trHeight w:val="853"/>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894"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cs="Times New Roman"/>
                <w:color w:val="000000"/>
                <w:sz w:val="24"/>
                <w:szCs w:val="24"/>
                <w:lang w:val="en-US" w:eastAsia="zh-CN"/>
              </w:rPr>
              <w:t xml:space="preserve">两座轻卡</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燃油</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辆</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r>
      <w:tr>
        <w:trPr>
          <w:trHeight w:val="933"/>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sz w:val="24"/>
                <w:szCs w:val="24"/>
                <w:lang w:val="en-US" w:eastAsia="zh-CN"/>
              </w:rPr>
              <w:suppressLineNumbers w:val="0"/>
            </w:pPr>
            <w:r>
              <w:rPr>
                <w:rFonts w:hint="eastAsia" w:ascii="宋体" w:hAnsi="宋体"/>
                <w:sz w:val="24"/>
                <w:szCs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894"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lang w:val="en-US" w:eastAsia="zh-CN"/>
              </w:rPr>
              <w:suppressLineNumbers w:val="0"/>
            </w:pPr>
            <w:r>
              <w:rPr>
                <w:rFonts w:hint="eastAsia" w:ascii="宋体" w:hAnsi="宋体" w:cs="Times New Roman"/>
                <w:color w:val="000000"/>
                <w:sz w:val="24"/>
                <w:szCs w:val="24"/>
                <w:lang w:val="en-US" w:eastAsia="zh-CN"/>
              </w:rPr>
              <w:t xml:space="preserve">新能源六座小型普通客车（面包车）</w:t>
            </w:r>
            <w:r/>
          </w:p>
          <w:p>
            <w:pPr>
              <w:ind w:left="0" w:right="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300km及以上续航</w:t>
            </w:r>
            <w:r>
              <w:rPr>
                <w:rFonts w:hint="eastAsia" w:ascii="宋体" w:hAnsi="宋体" w:eastAsia="宋体" w:cs="Times New Roman"/>
                <w:color w:val="000000"/>
                <w:sz w:val="24"/>
                <w:szCs w:val="24"/>
                <w:lang w:val="en-US"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新能源</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辆</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r>
      <w:tr>
        <w:trPr>
          <w:trHeight w:val="862"/>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894" w:type="dxa"/>
            <w:vAlign w:val="center"/>
            <w:textDirection w:val="lrTb"/>
            <w:noWrap/>
          </w:tcPr>
          <w:p>
            <w:pPr>
              <w:ind w:left="0" w:right="0"/>
              <w:jc w:val="center"/>
              <w:keepLines w:val="0"/>
              <w:keepNext w:val="0"/>
              <w:pageBreakBefore w:val="0"/>
              <w:spacing w:before="0" w:beforeAutospacing="0" w:after="0" w:afterAutospacing="0" w:line="360" w:lineRule="auto"/>
              <w:widowControl w:val="off"/>
              <w:rPr>
                <w:rFonts w:hint="eastAsia" w:ascii="宋体" w:hAnsi="宋体" w:cs="Times New Roman"/>
                <w:color w:val="000000"/>
                <w:sz w:val="24"/>
                <w:szCs w:val="24"/>
                <w:lang w:eastAsia="zh-CN"/>
              </w:rPr>
              <w:suppressLineNumbers w:val="0"/>
            </w:pPr>
            <w:r>
              <w:rPr>
                <w:rFonts w:hint="eastAsia" w:ascii="宋体" w:hAnsi="宋体" w:cs="Times New Roman"/>
                <w:color w:val="000000"/>
                <w:sz w:val="24"/>
                <w:szCs w:val="24"/>
                <w:lang w:eastAsia="zh-CN"/>
              </w:rPr>
              <w:t xml:space="preserve">新能源五座小型普通客车</w:t>
            </w:r>
            <w:r/>
          </w:p>
          <w:p>
            <w:pPr>
              <w:ind w:left="0" w:right="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400km及以上续航</w:t>
            </w:r>
            <w:r>
              <w:rPr>
                <w:rFonts w:hint="eastAsia" w:ascii="宋体" w:hAnsi="宋体" w:cs="Times New Roman"/>
                <w:color w:val="000000"/>
                <w:sz w:val="24"/>
                <w:szCs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新能源</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75"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t xml:space="preserve">辆</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r>
      <w:tr>
        <w:trPr>
          <w:trHeight w:val="619"/>
        </w:trPr>
        <w:tc>
          <w:tcPr>
            <w:gridSpan w:val="5"/>
            <w:shd w:val="clear" w:color="auto" w:fill="auto"/>
            <w:tcBorders>
              <w:top w:val="single" w:color="auto" w:sz="4" w:space="0"/>
              <w:left w:val="single" w:color="auto" w:sz="4" w:space="0"/>
              <w:bottom w:val="single" w:color="auto" w:sz="4" w:space="0"/>
              <w:right w:val="single" w:color="auto" w:sz="4" w:space="0"/>
            </w:tcBorders>
            <w:tcW w:w="6068" w:type="dxa"/>
            <w:vAlign w:val="center"/>
            <w:textDirection w:val="lrTb"/>
            <w:noWrap/>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sz w:val="24"/>
                <w:szCs w:val="24"/>
                <w:lang w:val="en-US" w:eastAsia="zh-CN"/>
              </w:rPr>
              <w:suppressLineNumbers w:val="0"/>
            </w:pPr>
            <w:r>
              <w:rPr>
                <w:rFonts w:hint="eastAsia" w:ascii="宋体" w:hAnsi="宋体"/>
                <w:sz w:val="24"/>
                <w:szCs w:val="24"/>
                <w:lang w:val="en-US" w:eastAsia="zh-CN"/>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8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sz w:val="24"/>
                <w:szCs w:val="24"/>
                <w:lang w:val="en-US" w:eastAsia="zh-CN"/>
              </w:rPr>
              <w:suppressLineNumbers w:val="0"/>
            </w:pPr>
            <w:r>
              <w:rPr>
                <w:rFonts w:hint="eastAsia" w:ascii="宋体" w:hAnsi="宋体"/>
                <w:sz w:val="24"/>
                <w:szCs w:val="24"/>
                <w:lang w:val="en-US" w:eastAsia="zh-CN"/>
              </w:rPr>
            </w:r>
            <w:r/>
          </w:p>
        </w:tc>
      </w:tr>
    </w:tbl>
    <w:p>
      <w:pPr>
        <w:ind w:left="0" w:right="0"/>
        <w:jc w:val="center"/>
        <w:keepLines w:val="0"/>
        <w:keepNext w:val="0"/>
        <w:spacing w:before="0" w:beforeAutospacing="0" w:after="0" w:afterAutospacing="0" w:line="360" w:lineRule="auto"/>
        <w:widowControl w:val="off"/>
        <w:rPr>
          <w:rFonts w:hint="eastAsia" w:ascii="仿宋" w:hAnsi="仿宋" w:eastAsia="仿宋" w:cs="仿宋"/>
          <w:color w:val="000000"/>
          <w:sz w:val="32"/>
          <w:szCs w:val="32"/>
        </w:rPr>
        <w:outlineLvl w:val="0"/>
        <w:suppressLineNumbers w:val="0"/>
      </w:pPr>
      <w:r>
        <w:rPr>
          <w:rFonts w:hint="eastAsia" w:ascii="仿宋" w:hAnsi="仿宋" w:eastAsia="仿宋" w:cs="仿宋"/>
          <w:color w:val="000000"/>
          <w:sz w:val="32"/>
          <w:szCs w:val="32"/>
          <w:lang w:val="en-US" w:eastAsia="zh-CN" w:bidi="ar"/>
        </w:rPr>
        <w:t xml:space="preserve"> </w:t>
      </w:r>
      <w:r/>
    </w:p>
    <w:p>
      <w:pPr>
        <w:pStyle w:val="796"/>
        <w:ind w:left="0" w:right="0" w:firstLine="0"/>
        <w:jc w:val="left"/>
        <w:keepLines w:val="0"/>
        <w:keepNext w:val="0"/>
        <w:spacing w:before="0" w:beforeAutospacing="0" w:after="0" w:afterAutospacing="0" w:line="42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lang w:val="en-US" w:eastAsia="zh-CN" w:bidi="ar"/>
        </w:rPr>
        <w:t xml:space="preserve"> </w:t>
      </w:r>
      <w:r/>
    </w:p>
    <w:p>
      <w:pPr>
        <w:ind w:firstLine="0"/>
        <w:keepLines w:val="0"/>
        <w:keepNext w:val="0"/>
        <w:pageBreakBefore w:val="0"/>
        <w:spacing w:line="48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供应商名称：（加盖CA电子公章）</w:t>
      </w:r>
      <w:r/>
    </w:p>
    <w:p>
      <w:pPr>
        <w:ind w:firstLine="0"/>
        <w:keepLines w:val="0"/>
        <w:keepNext w:val="0"/>
        <w:pageBreakBefore w:val="0"/>
        <w:spacing w:line="48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备注：</w:t>
      </w:r>
      <w:r/>
    </w:p>
    <w:p>
      <w:pPr>
        <w:ind w:firstLine="0"/>
        <w:keepLines w:val="0"/>
        <w:keepNext w:val="0"/>
        <w:pageBreakBefore w:val="0"/>
        <w:spacing w:line="48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★1.供应商的投标报价应包括但不限于包含车辆租金、车辆年检、保险及税费等一切费用。</w:t>
      </w:r>
      <w:r/>
    </w:p>
    <w:p>
      <w:pPr>
        <w:ind w:firstLine="0"/>
        <w:keepLines w:val="0"/>
        <w:keepNext w:val="0"/>
        <w:pageBreakBefore w:val="0"/>
        <w:spacing w:line="48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★2.供应商投标价超出最高投标限价的，视为无效响应。</w:t>
      </w:r>
      <w:r/>
    </w:p>
    <w:p>
      <w:pPr>
        <w:ind w:firstLine="0"/>
        <w:keepLines w:val="0"/>
        <w:keepNext w:val="0"/>
        <w:pageBreakBefore w:val="0"/>
        <w:spacing w:line="48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★3.磋商报价总价表报价应等于明细表合计金额</w:t>
      </w:r>
      <w:r>
        <w:rPr>
          <w:rFonts w:hint="eastAsia" w:ascii="宋体" w:hAnsi="宋体"/>
          <w:sz w:val="24"/>
          <w:szCs w:val="24"/>
          <w:lang w:val="en-US" w:eastAsia="zh-CN"/>
        </w:rPr>
      </w:r>
      <w:r/>
    </w:p>
    <w:p>
      <w:pPr>
        <w:ind w:firstLine="0"/>
        <w:keepLines w:val="0"/>
        <w:keepNext w:val="0"/>
        <w:pageBreakBefore w:val="0"/>
        <w:spacing w:line="480" w:lineRule="auto"/>
        <w:widowControl w:val="off"/>
        <w:rPr>
          <w:rFonts w:hint="eastAsia" w:ascii="宋体" w:hAnsi="宋体"/>
          <w:sz w:val="24"/>
          <w:szCs w:val="24"/>
          <w:lang w:val="en-US" w:eastAsia="zh-CN"/>
        </w:rPr>
      </w:pPr>
      <w:r>
        <w:rPr>
          <w:rFonts w:hint="eastAsia" w:ascii="宋体" w:hAnsi="宋体"/>
          <w:sz w:val="24"/>
          <w:szCs w:val="24"/>
          <w:lang w:val="en-US" w:eastAsia="zh-CN"/>
        </w:rPr>
      </w:r>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宋体" w:hAnsi="宋体"/>
          <w:sz w:val="24"/>
          <w:szCs w:val="24"/>
          <w:lang w:val="en-US" w:eastAsia="zh-CN"/>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序号</w:t>
            </w:r>
            <w:r/>
          </w:p>
        </w:tc>
        <w:tc>
          <w:tcPr>
            <w:tcW w:w="292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响应情况</w:t>
            </w:r>
            <w:r/>
          </w:p>
        </w:tc>
        <w:tc>
          <w:tcPr>
            <w:tcW w:w="336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6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bl>
    <w:p>
      <w:pPr>
        <w:pStyle w:val="101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101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10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10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成交供应商签订合同时应按磋商文件要求和响应文件响应内容向采购人提供相应证明材料核验（如：白皮书、彩页、手册、网站截图、具有CMA标识的检测报告等）。成交供应商未按磋商文件要求和响应文件响应内容提供相应证明材料或者提供的证明材料不符合磋商文件要求的，视为提供虚假材料谋取成交，采购人将取消其成交资格。</w:t>
      </w:r>
      <w:r/>
    </w:p>
    <w:p>
      <w:pPr>
        <w:pStyle w:val="10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val="0"/>
          <w:iCs/>
          <w:color w:val="000000"/>
          <w:sz w:val="32"/>
          <w:szCs w:val="32"/>
          <w:u w:val="none"/>
          <w:lang w:val="en-US" w:eastAsia="zh-CN"/>
        </w:rPr>
      </w:pPr>
      <w:r/>
      <w:bookmarkStart w:id="32" w:name="_Hlt26955054"/>
      <w:r/>
      <w:bookmarkEnd w:id="32"/>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bookmarkStart w:id="33" w:name="_Hlt26955064"/>
            <w:r/>
            <w:bookmarkEnd w:id="33"/>
            <w:r/>
            <w:bookmarkStart w:id="34" w:name="_Hlt26580838"/>
            <w:r/>
            <w:bookmarkEnd w:id="34"/>
            <w:r/>
            <w:bookmarkStart w:id="35" w:name="_Hlt24879081"/>
            <w:r/>
            <w:bookmarkEnd w:id="35"/>
            <w:r/>
            <w:bookmarkStart w:id="36" w:name="_Hlt26955056"/>
            <w:r/>
            <w:bookmarkEnd w:id="36"/>
            <w:r/>
            <w:bookmarkStart w:id="37" w:name="_Hlt26782999"/>
            <w:r/>
            <w:bookmarkEnd w:id="37"/>
            <w:r/>
            <w:bookmarkStart w:id="38" w:name="_Hlt26671372"/>
            <w:r/>
            <w:bookmarkEnd w:id="38"/>
            <w:r/>
            <w:bookmarkStart w:id="39" w:name="_Hlt26609391"/>
            <w:r/>
            <w:bookmarkEnd w:id="39"/>
            <w:r/>
            <w:bookmarkStart w:id="40" w:name="_Hlt26671343"/>
            <w:r/>
            <w:bookmarkEnd w:id="40"/>
            <w:r>
              <w:rPr>
                <w:rFonts w:hint="eastAsia" w:ascii="宋体" w:hAnsi="宋体"/>
                <w:color w:val="000000"/>
                <w:sz w:val="24"/>
                <w:szCs w:val="24"/>
              </w:rPr>
              <w:t xml:space="preserve">序号</w:t>
            </w:r>
            <w:r/>
          </w:p>
        </w:tc>
        <w:tc>
          <w:tcPr>
            <w:tcW w:w="283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响应情况</w:t>
            </w:r>
            <w:r/>
          </w:p>
        </w:tc>
        <w:tc>
          <w:tcPr>
            <w:tcW w:w="334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40"/>
        </w:trPr>
        <w:tc>
          <w:tcPr>
            <w:tcW w:w="83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c>
          <w:tcPr>
            <w:tcW w:w="334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r>
            <w:r/>
          </w:p>
        </w:tc>
      </w:tr>
    </w:tbl>
    <w:p>
      <w:pPr>
        <w:pStyle w:val="101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10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1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10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1019"/>
      </w:pPr>
      <w:r/>
      <w:r/>
    </w:p>
    <w:p>
      <w:r/>
      <w:r/>
    </w:p>
    <w:p>
      <w:pPr>
        <w:pStyle w:val="1019"/>
      </w:pPr>
      <w:r/>
      <w:r/>
    </w:p>
    <w:p>
      <w:pPr>
        <w:jc w:val="center"/>
        <w:rPr>
          <w:rFonts w:hint="eastAsia" w:ascii="宋体" w:hAnsi="宋体" w:cs="仿宋"/>
          <w:b/>
          <w:bCs/>
          <w:sz w:val="32"/>
          <w:szCs w:val="32"/>
        </w:rPr>
      </w:pPr>
      <w:r>
        <w:rPr>
          <w:rFonts w:hint="eastAsia" w:ascii="宋体" w:hAnsi="宋体" w:cs="仿宋"/>
          <w:b/>
          <w:bCs/>
          <w:sz w:val="32"/>
          <w:szCs w:val="32"/>
        </w:rPr>
      </w:r>
      <w:r/>
    </w:p>
    <w:p>
      <w:pPr>
        <w:pStyle w:val="1029"/>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771"/>
        <w:rPr>
          <w:rFonts w:hint="eastAsia" w:ascii="宋体" w:hAnsi="宋体" w:cs="仿宋"/>
          <w:b/>
          <w:bCs/>
          <w:sz w:val="32"/>
          <w:szCs w:val="32"/>
        </w:rPr>
      </w:pPr>
      <w:r>
        <w:rPr>
          <w:rFonts w:hint="eastAsia" w:ascii="宋体" w:hAnsi="宋体" w:cs="仿宋"/>
          <w:b/>
          <w:bCs/>
          <w:sz w:val="32"/>
          <w:szCs w:val="32"/>
        </w:rPr>
      </w:r>
      <w:r/>
    </w:p>
    <w:p>
      <w:pPr>
        <w:pStyle w:val="771"/>
        <w:rPr>
          <w:rFonts w:hint="eastAsia"/>
        </w:rPr>
      </w:pPr>
      <w:r>
        <w:rPr>
          <w:rFonts w:hint="eastAsia"/>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102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102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both"/>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9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pStyle w:val="777"/>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7"/>
  </w:num>
  <w:num w:numId="4">
    <w:abstractNumId w:val="1"/>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next w:val="777"/>
    <w:link w:val="10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6">
    <w:name w:val="Heading 1"/>
    <w:basedOn w:val="765"/>
    <w:next w:val="765"/>
    <w:link w:val="803"/>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link w:val="804"/>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05"/>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06"/>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07"/>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08"/>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10"/>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11"/>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7" w:customStyle="1">
    <w:name w:val="标题 5（有编号）（绿盟科技）"/>
    <w:basedOn w:val="765"/>
    <w:next w:val="778"/>
    <w:uiPriority w:val="0"/>
    <w:qFormat/>
    <w:pPr>
      <w:numPr>
        <w:ilvl w:val="4"/>
        <w:numId w:val="1"/>
      </w:numPr>
      <w:keepLines/>
      <w:keepNext/>
      <w:spacing w:before="280" w:after="156" w:line="377" w:lineRule="auto"/>
      <w:outlineLvl w:val="4"/>
    </w:pPr>
    <w:rPr>
      <w:rFonts w:eastAsia="黑体"/>
      <w:b/>
      <w:sz w:val="24"/>
      <w:szCs w:val="28"/>
    </w:rPr>
  </w:style>
  <w:style w:type="paragraph" w:styleId="77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779">
    <w:name w:val="toc 7"/>
    <w:basedOn w:val="765"/>
    <w:next w:val="765"/>
    <w:uiPriority w:val="39"/>
    <w:unhideWhenUsed/>
    <w:qFormat/>
    <w:pPr>
      <w:ind w:left="1701" w:right="0" w:firstLine="0"/>
      <w:spacing w:after="57"/>
    </w:pPr>
  </w:style>
  <w:style w:type="paragraph" w:styleId="780">
    <w:name w:val="Caption"/>
    <w:basedOn w:val="765"/>
    <w:next w:val="765"/>
    <w:uiPriority w:val="35"/>
    <w:semiHidden/>
    <w:unhideWhenUsed/>
    <w:qFormat/>
    <w:pPr>
      <w:spacing w:line="276" w:lineRule="auto"/>
    </w:pPr>
    <w:rPr>
      <w:b/>
      <w:bCs/>
      <w:color w:val="4f81bd" w:themeColor="accent1"/>
      <w:sz w:val="18"/>
      <w:szCs w:val="18"/>
    </w:rPr>
  </w:style>
  <w:style w:type="paragraph" w:styleId="781">
    <w:name w:val="Body Text"/>
    <w:basedOn w:val="765"/>
    <w:uiPriority w:val="0"/>
    <w:qFormat/>
    <w:pPr>
      <w:jc w:val="both"/>
      <w:widowControl w:val="off"/>
    </w:pPr>
    <w:rPr>
      <w:sz w:val="28"/>
    </w:rPr>
  </w:style>
  <w:style w:type="paragraph" w:styleId="782">
    <w:name w:val="toc 5"/>
    <w:basedOn w:val="765"/>
    <w:next w:val="765"/>
    <w:uiPriority w:val="39"/>
    <w:unhideWhenUsed/>
    <w:qFormat/>
    <w:pPr>
      <w:ind w:left="1134" w:right="0" w:firstLine="0"/>
      <w:spacing w:after="57"/>
    </w:pPr>
  </w:style>
  <w:style w:type="paragraph" w:styleId="783">
    <w:name w:val="toc 3"/>
    <w:basedOn w:val="765"/>
    <w:next w:val="765"/>
    <w:uiPriority w:val="39"/>
    <w:unhideWhenUsed/>
    <w:qFormat/>
    <w:pPr>
      <w:ind w:left="567" w:right="0" w:firstLine="0"/>
      <w:spacing w:after="57"/>
    </w:pPr>
  </w:style>
  <w:style w:type="paragraph" w:styleId="784">
    <w:name w:val="toc 8"/>
    <w:basedOn w:val="765"/>
    <w:next w:val="765"/>
    <w:uiPriority w:val="39"/>
    <w:unhideWhenUsed/>
    <w:qFormat/>
    <w:pPr>
      <w:ind w:left="1984" w:right="0" w:firstLine="0"/>
      <w:spacing w:after="57"/>
    </w:pPr>
  </w:style>
  <w:style w:type="paragraph" w:styleId="785">
    <w:name w:val="endnote text"/>
    <w:basedOn w:val="765"/>
    <w:link w:val="947"/>
    <w:uiPriority w:val="99"/>
    <w:semiHidden/>
    <w:unhideWhenUsed/>
    <w:qFormat/>
    <w:pPr>
      <w:spacing w:after="0" w:line="240" w:lineRule="auto"/>
    </w:pPr>
    <w:rPr>
      <w:sz w:val="20"/>
    </w:rPr>
  </w:style>
  <w:style w:type="paragraph" w:styleId="786">
    <w:name w:val="Footer"/>
    <w:basedOn w:val="765"/>
    <w:link w:val="820"/>
    <w:uiPriority w:val="99"/>
    <w:unhideWhenUsed/>
    <w:qFormat/>
    <w:pPr>
      <w:spacing w:after="0" w:line="240" w:lineRule="auto"/>
      <w:tabs>
        <w:tab w:val="center" w:pos="7143" w:leader="none"/>
        <w:tab w:val="right" w:pos="14287" w:leader="none"/>
      </w:tabs>
    </w:pPr>
  </w:style>
  <w:style w:type="paragraph" w:styleId="787">
    <w:name w:val="Header"/>
    <w:basedOn w:val="765"/>
    <w:link w:val="818"/>
    <w:uiPriority w:val="99"/>
    <w:unhideWhenUsed/>
    <w:qFormat/>
    <w:pPr>
      <w:spacing w:after="0" w:line="240" w:lineRule="auto"/>
      <w:tabs>
        <w:tab w:val="center" w:pos="7143" w:leader="none"/>
        <w:tab w:val="right" w:pos="14287" w:leader="none"/>
      </w:tabs>
    </w:pPr>
  </w:style>
  <w:style w:type="paragraph" w:styleId="788">
    <w:name w:val="toc 1"/>
    <w:basedOn w:val="765"/>
    <w:next w:val="765"/>
    <w:uiPriority w:val="39"/>
    <w:unhideWhenUsed/>
    <w:qFormat/>
    <w:pPr>
      <w:ind w:left="0" w:right="0" w:firstLine="0"/>
      <w:spacing w:after="57"/>
    </w:pPr>
  </w:style>
  <w:style w:type="paragraph" w:styleId="789">
    <w:name w:val="toc 4"/>
    <w:basedOn w:val="765"/>
    <w:next w:val="765"/>
    <w:uiPriority w:val="39"/>
    <w:unhideWhenUsed/>
    <w:qFormat/>
    <w:pPr>
      <w:ind w:left="850" w:right="0" w:firstLine="0"/>
      <w:spacing w:after="57"/>
    </w:pPr>
  </w:style>
  <w:style w:type="paragraph" w:styleId="790">
    <w:name w:val="Subtitle"/>
    <w:basedOn w:val="765"/>
    <w:next w:val="765"/>
    <w:link w:val="813"/>
    <w:uiPriority w:val="11"/>
    <w:qFormat/>
    <w:pPr>
      <w:spacing w:before="200" w:after="200"/>
    </w:pPr>
    <w:rPr>
      <w:sz w:val="24"/>
      <w:szCs w:val="24"/>
    </w:rPr>
  </w:style>
  <w:style w:type="paragraph" w:styleId="791">
    <w:name w:val="footnote text"/>
    <w:basedOn w:val="765"/>
    <w:link w:val="946"/>
    <w:uiPriority w:val="99"/>
    <w:semiHidden/>
    <w:unhideWhenUsed/>
    <w:qFormat/>
    <w:pPr>
      <w:spacing w:after="40" w:line="240" w:lineRule="auto"/>
    </w:pPr>
    <w:rPr>
      <w:sz w:val="18"/>
    </w:rPr>
  </w:style>
  <w:style w:type="paragraph" w:styleId="792">
    <w:name w:val="toc 6"/>
    <w:basedOn w:val="765"/>
    <w:next w:val="765"/>
    <w:uiPriority w:val="39"/>
    <w:unhideWhenUsed/>
    <w:qFormat/>
    <w:pPr>
      <w:ind w:left="1417" w:right="0" w:firstLine="0"/>
      <w:spacing w:after="57"/>
    </w:pPr>
  </w:style>
  <w:style w:type="paragraph" w:styleId="793">
    <w:name w:val="table of figures"/>
    <w:basedOn w:val="765"/>
    <w:next w:val="765"/>
    <w:uiPriority w:val="99"/>
    <w:unhideWhenUsed/>
    <w:qFormat/>
    <w:pPr>
      <w:spacing w:after="0" w:afterAutospacing="0"/>
    </w:pPr>
  </w:style>
  <w:style w:type="paragraph" w:styleId="794">
    <w:name w:val="toc 2"/>
    <w:basedOn w:val="765"/>
    <w:next w:val="765"/>
    <w:uiPriority w:val="39"/>
    <w:unhideWhenUsed/>
    <w:qFormat/>
    <w:pPr>
      <w:ind w:left="283" w:right="0" w:firstLine="0"/>
      <w:spacing w:after="57"/>
    </w:pPr>
  </w:style>
  <w:style w:type="paragraph" w:styleId="795">
    <w:name w:val="toc 9"/>
    <w:basedOn w:val="765"/>
    <w:next w:val="765"/>
    <w:uiPriority w:val="39"/>
    <w:unhideWhenUsed/>
    <w:qFormat/>
    <w:pPr>
      <w:ind w:left="2268" w:right="0" w:firstLine="0"/>
      <w:spacing w:after="57"/>
    </w:pPr>
  </w:style>
  <w:style w:type="paragraph" w:styleId="796">
    <w:name w:val="Normal (Web)"/>
    <w:basedOn w:val="765"/>
    <w:uiPriority w:val="99"/>
    <w:semiHidden/>
    <w:unhideWhenUsed/>
    <w:qFormat/>
    <w:rPr>
      <w:sz w:val="24"/>
    </w:rPr>
  </w:style>
  <w:style w:type="paragraph" w:styleId="797">
    <w:name w:val="Title"/>
    <w:basedOn w:val="765"/>
    <w:next w:val="765"/>
    <w:link w:val="812"/>
    <w:uiPriority w:val="10"/>
    <w:qFormat/>
    <w:pPr>
      <w:contextualSpacing/>
      <w:spacing w:before="300" w:after="200"/>
    </w:pPr>
    <w:rPr>
      <w:sz w:val="48"/>
      <w:szCs w:val="48"/>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75"/>
    <w:uiPriority w:val="22"/>
    <w:qFormat/>
    <w:rPr>
      <w:b/>
      <w:bCs/>
    </w:r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rPr>
  </w:style>
  <w:style w:type="character" w:styleId="802">
    <w:name w:val="footnote reference"/>
    <w:uiPriority w:val="99"/>
    <w:unhideWhenUsed/>
    <w:qFormat/>
    <w:rPr>
      <w:vertAlign w:val="superscript"/>
    </w:rPr>
  </w:style>
  <w:style w:type="character" w:styleId="803" w:customStyle="1">
    <w:name w:val="Heading 1 Char"/>
    <w:link w:val="766"/>
    <w:uiPriority w:val="9"/>
    <w:qFormat/>
    <w:rPr>
      <w:rFonts w:ascii="Arial" w:hAnsi="Arial" w:eastAsia="Arial" w:cs="Arial"/>
      <w:sz w:val="40"/>
      <w:szCs w:val="40"/>
    </w:rPr>
  </w:style>
  <w:style w:type="character" w:styleId="804" w:customStyle="1">
    <w:name w:val="Heading 2 Char"/>
    <w:link w:val="767"/>
    <w:uiPriority w:val="9"/>
    <w:qFormat/>
    <w:rPr>
      <w:rFonts w:ascii="Arial" w:hAnsi="Arial" w:eastAsia="Arial" w:cs="Arial"/>
      <w:sz w:val="34"/>
    </w:rPr>
  </w:style>
  <w:style w:type="character" w:styleId="805" w:customStyle="1">
    <w:name w:val="Heading 3 Char"/>
    <w:link w:val="768"/>
    <w:uiPriority w:val="9"/>
    <w:qFormat/>
    <w:rPr>
      <w:rFonts w:ascii="Arial" w:hAnsi="Arial" w:eastAsia="Arial" w:cs="Arial"/>
      <w:sz w:val="30"/>
      <w:szCs w:val="30"/>
    </w:rPr>
  </w:style>
  <w:style w:type="character" w:styleId="806" w:customStyle="1">
    <w:name w:val="Heading 4 Char"/>
    <w:link w:val="769"/>
    <w:uiPriority w:val="9"/>
    <w:qFormat/>
    <w:rPr>
      <w:rFonts w:ascii="Arial" w:hAnsi="Arial" w:eastAsia="Arial" w:cs="Arial"/>
      <w:b/>
      <w:bCs/>
      <w:sz w:val="26"/>
      <w:szCs w:val="26"/>
    </w:rPr>
  </w:style>
  <w:style w:type="character" w:styleId="807" w:customStyle="1">
    <w:name w:val="Heading 5 Char"/>
    <w:link w:val="770"/>
    <w:uiPriority w:val="9"/>
    <w:qFormat/>
    <w:rPr>
      <w:rFonts w:ascii="Arial" w:hAnsi="Arial" w:eastAsia="Arial" w:cs="Arial"/>
      <w:b/>
      <w:bCs/>
      <w:sz w:val="24"/>
      <w:szCs w:val="24"/>
    </w:rPr>
  </w:style>
  <w:style w:type="character" w:styleId="808" w:customStyle="1">
    <w:name w:val="Heading 6 Char"/>
    <w:link w:val="771"/>
    <w:uiPriority w:val="9"/>
    <w:qFormat/>
    <w:rPr>
      <w:rFonts w:ascii="Arial" w:hAnsi="Arial" w:eastAsia="Arial" w:cs="Arial"/>
      <w:b/>
      <w:bCs/>
      <w:sz w:val="22"/>
      <w:szCs w:val="22"/>
    </w:rPr>
  </w:style>
  <w:style w:type="character" w:styleId="809" w:customStyle="1">
    <w:name w:val="Heading 7 Char"/>
    <w:link w:val="772"/>
    <w:uiPriority w:val="9"/>
    <w:qFormat/>
    <w:rPr>
      <w:rFonts w:ascii="Arial" w:hAnsi="Arial" w:eastAsia="Arial" w:cs="Arial"/>
      <w:b/>
      <w:bCs/>
      <w:i/>
      <w:iCs/>
      <w:sz w:val="22"/>
      <w:szCs w:val="22"/>
    </w:rPr>
  </w:style>
  <w:style w:type="character" w:styleId="810" w:customStyle="1">
    <w:name w:val="Heading 8 Char"/>
    <w:link w:val="773"/>
    <w:uiPriority w:val="9"/>
    <w:qFormat/>
    <w:rPr>
      <w:rFonts w:ascii="Arial" w:hAnsi="Arial" w:eastAsia="Arial" w:cs="Arial"/>
      <w:i/>
      <w:iCs/>
      <w:sz w:val="22"/>
      <w:szCs w:val="22"/>
    </w:rPr>
  </w:style>
  <w:style w:type="character" w:styleId="811" w:customStyle="1">
    <w:name w:val="Heading 9 Char"/>
    <w:link w:val="774"/>
    <w:uiPriority w:val="9"/>
    <w:qFormat/>
    <w:rPr>
      <w:rFonts w:ascii="Arial" w:hAnsi="Arial" w:eastAsia="Arial" w:cs="Arial"/>
      <w:i/>
      <w:iCs/>
      <w:sz w:val="21"/>
      <w:szCs w:val="21"/>
    </w:rPr>
  </w:style>
  <w:style w:type="character" w:styleId="812" w:customStyle="1">
    <w:name w:val="Title Char"/>
    <w:link w:val="797"/>
    <w:uiPriority w:val="10"/>
    <w:qFormat/>
    <w:rPr>
      <w:sz w:val="48"/>
      <w:szCs w:val="48"/>
    </w:rPr>
  </w:style>
  <w:style w:type="character" w:styleId="813" w:customStyle="1">
    <w:name w:val="Subtitle Char"/>
    <w:link w:val="790"/>
    <w:uiPriority w:val="11"/>
    <w:qFormat/>
    <w:rPr>
      <w:sz w:val="24"/>
      <w:szCs w:val="24"/>
    </w:rPr>
  </w:style>
  <w:style w:type="paragraph" w:styleId="814">
    <w:name w:val="Quote"/>
    <w:basedOn w:val="765"/>
    <w:next w:val="765"/>
    <w:link w:val="815"/>
    <w:uiPriority w:val="29"/>
    <w:qFormat/>
    <w:pPr>
      <w:ind w:left="720" w:right="720"/>
    </w:pPr>
    <w:rPr>
      <w:i/>
    </w:rPr>
  </w:style>
  <w:style w:type="character" w:styleId="815" w:customStyle="1">
    <w:name w:val="Quote Char"/>
    <w:link w:val="814"/>
    <w:uiPriority w:val="29"/>
    <w:qFormat/>
    <w:rPr>
      <w:i/>
    </w:rPr>
  </w:style>
  <w:style w:type="paragraph" w:styleId="816">
    <w:name w:val="Intense Quote"/>
    <w:basedOn w:val="765"/>
    <w:next w:val="765"/>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Intense Quote Char"/>
    <w:link w:val="816"/>
    <w:uiPriority w:val="30"/>
    <w:qFormat/>
    <w:rPr>
      <w:i/>
    </w:rPr>
  </w:style>
  <w:style w:type="character" w:styleId="818" w:customStyle="1">
    <w:name w:val="Header Char"/>
    <w:link w:val="787"/>
    <w:uiPriority w:val="99"/>
    <w:qFormat/>
  </w:style>
  <w:style w:type="character" w:styleId="819" w:customStyle="1">
    <w:name w:val="Footer Char"/>
    <w:link w:val="786"/>
    <w:uiPriority w:val="99"/>
    <w:qFormat/>
  </w:style>
  <w:style w:type="character" w:styleId="820" w:customStyle="1">
    <w:name w:val="Caption Char"/>
    <w:link w:val="786"/>
    <w:uiPriority w:val="99"/>
    <w:qFormat/>
  </w:style>
  <w:style w:type="table" w:styleId="8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Footnote Text Char"/>
    <w:link w:val="791"/>
    <w:uiPriority w:val="99"/>
    <w:qFormat/>
    <w:rPr>
      <w:sz w:val="18"/>
    </w:rPr>
  </w:style>
  <w:style w:type="character" w:styleId="947" w:customStyle="1">
    <w:name w:val="Endnote Text Char"/>
    <w:link w:val="785"/>
    <w:uiPriority w:val="99"/>
    <w:qFormat/>
    <w:rPr>
      <w:sz w:val="20"/>
    </w:rPr>
  </w:style>
  <w:style w:type="paragraph" w:styleId="948" w:customStyle="1">
    <w:name w:val="TOC Heading"/>
    <w:uiPriority w:val="39"/>
    <w:unhideWhenUsed/>
    <w:qFormat/>
    <w:rPr>
      <w:rFonts w:hint="default" w:ascii="Times New Roman" w:hAnsi="Times New Roman" w:eastAsia="宋体" w:cs="Times New Roman"/>
    </w:rPr>
  </w:style>
  <w:style w:type="paragraph" w:styleId="949" w:customStyle="1">
    <w:name w:val="标题 11"/>
    <w:basedOn w:val="765"/>
    <w:next w:val="765"/>
    <w:link w:val="962"/>
    <w:uiPriority w:val="0"/>
    <w:qFormat/>
    <w:pPr>
      <w:jc w:val="center"/>
      <w:keepNext/>
      <w:outlineLvl w:val="0"/>
    </w:pPr>
    <w:rPr>
      <w:rFonts w:ascii="楷体_GB2312" w:hAnsi="Times New Roman" w:eastAsia="楷体_GB2312" w:cs="Times New Roman"/>
      <w:sz w:val="28"/>
      <w:szCs w:val="28"/>
    </w:rPr>
  </w:style>
  <w:style w:type="paragraph" w:styleId="950" w:customStyle="1">
    <w:name w:val="标题 21"/>
    <w:basedOn w:val="765"/>
    <w:next w:val="951"/>
    <w:link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1" w:customStyle="1">
    <w:name w:val="正文缩进1"/>
    <w:basedOn w:val="765"/>
    <w:link w:val="964"/>
    <w:uiPriority w:val="0"/>
    <w:qFormat/>
    <w:pPr>
      <w:ind w:firstLine="420"/>
    </w:pPr>
    <w:rPr>
      <w:szCs w:val="21"/>
    </w:rPr>
  </w:style>
  <w:style w:type="paragraph" w:styleId="952" w:customStyle="1">
    <w:name w:val="标题 31"/>
    <w:basedOn w:val="765"/>
    <w:next w:val="951"/>
    <w:link w:val="96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customStyle="1">
    <w:name w:val="标题 41"/>
    <w:basedOn w:val="765"/>
    <w:next w:val="951"/>
    <w:link w:val="966"/>
    <w:uiPriority w:val="0"/>
    <w:qFormat/>
    <w:pPr>
      <w:keepLines/>
      <w:keepNext/>
      <w:spacing w:before="280" w:after="290" w:line="376" w:lineRule="auto"/>
      <w:outlineLvl w:val="3"/>
    </w:pPr>
    <w:rPr>
      <w:rFonts w:ascii="Arial" w:hAnsi="Arial" w:eastAsia="黑体" w:cs="Arial"/>
      <w:b/>
      <w:bCs/>
      <w:sz w:val="28"/>
      <w:szCs w:val="28"/>
    </w:rPr>
  </w:style>
  <w:style w:type="paragraph" w:styleId="954" w:customStyle="1">
    <w:name w:val="标题 51"/>
    <w:basedOn w:val="765"/>
    <w:next w:val="951"/>
    <w:link w:val="967"/>
    <w:uiPriority w:val="0"/>
    <w:qFormat/>
    <w:pPr>
      <w:keepNext/>
      <w:outlineLvl w:val="4"/>
    </w:pPr>
    <w:rPr>
      <w:rFonts w:ascii="宋体" w:hAnsi="Times New Roman" w:eastAsia="宋体" w:cs="Times New Roman"/>
      <w:color w:val="000000"/>
      <w:sz w:val="28"/>
      <w:szCs w:val="28"/>
    </w:rPr>
  </w:style>
  <w:style w:type="paragraph" w:styleId="955" w:customStyle="1">
    <w:name w:val="标题 61"/>
    <w:basedOn w:val="765"/>
    <w:next w:val="765"/>
    <w:link w:val="96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customStyle="1">
    <w:name w:val="标题 71"/>
    <w:basedOn w:val="765"/>
    <w:next w:val="765"/>
    <w:link w:val="96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customStyle="1">
    <w:name w:val="标题 81"/>
    <w:basedOn w:val="765"/>
    <w:next w:val="765"/>
    <w:link w:val="97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customStyle="1">
    <w:name w:val="标题 91"/>
    <w:basedOn w:val="765"/>
    <w:next w:val="765"/>
    <w:link w:val="97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customStyle="1">
    <w:name w:val="默认段落字体1"/>
    <w:link w:val="765"/>
    <w:uiPriority w:val="1"/>
    <w:unhideWhenUsed/>
    <w:qFormat/>
  </w:style>
  <w:style w:type="table" w:styleId="960" w:customStyle="1">
    <w:name w:val="普通表格11"/>
    <w:uiPriority w:val="99"/>
    <w:unhideWhenUsed/>
    <w:qFormat/>
    <w:tblPr/>
  </w:style>
  <w:style w:type="paragraph" w:styleId="961" w:customStyle="1">
    <w:name w:val="索引 411"/>
    <w:basedOn w:val="765"/>
    <w:next w:val="765"/>
    <w:uiPriority w:val="99"/>
    <w:unhideWhenUsed/>
    <w:qFormat/>
    <w:pPr>
      <w:ind w:left="600"/>
    </w:pPr>
  </w:style>
  <w:style w:type="character" w:styleId="962" w:customStyle="1">
    <w:name w:val="标题 1 Char"/>
    <w:link w:val="949"/>
    <w:uiPriority w:val="0"/>
    <w:qFormat/>
    <w:rPr>
      <w:rFonts w:ascii="楷体_GB2312" w:hAnsi="Times New Roman" w:eastAsia="楷体_GB2312" w:cs="Times New Roman"/>
      <w:sz w:val="28"/>
      <w:szCs w:val="28"/>
    </w:rPr>
  </w:style>
  <w:style w:type="character" w:styleId="963" w:customStyle="1">
    <w:name w:val="标题 2 Char"/>
    <w:link w:val="950"/>
    <w:uiPriority w:val="0"/>
    <w:qFormat/>
    <w:rPr>
      <w:rFonts w:ascii="Arial" w:hAnsi="Arial" w:eastAsia="幼圆" w:cs="Arial"/>
      <w:b/>
      <w:bCs/>
      <w:sz w:val="44"/>
      <w:szCs w:val="44"/>
    </w:rPr>
  </w:style>
  <w:style w:type="character" w:styleId="964" w:customStyle="1">
    <w:name w:val="正文缩进 Char"/>
    <w:link w:val="951"/>
    <w:uiPriority w:val="0"/>
    <w:qFormat/>
    <w:rPr>
      <w:szCs w:val="21"/>
    </w:rPr>
  </w:style>
  <w:style w:type="character" w:styleId="965" w:customStyle="1">
    <w:name w:val="标题 3 Char"/>
    <w:link w:val="952"/>
    <w:uiPriority w:val="0"/>
    <w:qFormat/>
    <w:rPr>
      <w:rFonts w:ascii="Times New Roman" w:hAnsi="Times New Roman" w:eastAsia="宋体" w:cs="Times New Roman"/>
      <w:b/>
      <w:bCs/>
      <w:sz w:val="32"/>
      <w:szCs w:val="32"/>
    </w:rPr>
  </w:style>
  <w:style w:type="character" w:styleId="966" w:customStyle="1">
    <w:name w:val="标题 4 Char"/>
    <w:link w:val="953"/>
    <w:uiPriority w:val="0"/>
    <w:qFormat/>
    <w:rPr>
      <w:rFonts w:ascii="Arial" w:hAnsi="Arial" w:eastAsia="黑体" w:cs="Arial"/>
      <w:b/>
      <w:bCs/>
      <w:sz w:val="28"/>
      <w:szCs w:val="28"/>
    </w:rPr>
  </w:style>
  <w:style w:type="character" w:styleId="967" w:customStyle="1">
    <w:name w:val="标题 5 Char"/>
    <w:link w:val="954"/>
    <w:uiPriority w:val="0"/>
    <w:qFormat/>
    <w:rPr>
      <w:rFonts w:ascii="宋体" w:hAnsi="Times New Roman" w:eastAsia="宋体" w:cs="Times New Roman"/>
      <w:color w:val="000000"/>
      <w:sz w:val="28"/>
      <w:szCs w:val="28"/>
    </w:rPr>
  </w:style>
  <w:style w:type="character" w:styleId="968" w:customStyle="1">
    <w:name w:val="标题 6 Char"/>
    <w:link w:val="955"/>
    <w:uiPriority w:val="0"/>
    <w:qFormat/>
    <w:rPr>
      <w:rFonts w:ascii="Arial" w:hAnsi="Arial" w:eastAsia="黑体" w:cs="Times New Roman"/>
      <w:b/>
      <w:bCs/>
      <w:sz w:val="24"/>
      <w:szCs w:val="24"/>
    </w:rPr>
  </w:style>
  <w:style w:type="character" w:styleId="969" w:customStyle="1">
    <w:name w:val="标题 7 Char"/>
    <w:link w:val="956"/>
    <w:uiPriority w:val="0"/>
    <w:qFormat/>
    <w:rPr>
      <w:rFonts w:ascii="Times New Roman" w:hAnsi="Times New Roman" w:eastAsia="宋体" w:cs="Times New Roman"/>
      <w:b/>
      <w:bCs/>
      <w:sz w:val="24"/>
      <w:szCs w:val="24"/>
    </w:rPr>
  </w:style>
  <w:style w:type="character" w:styleId="970" w:customStyle="1">
    <w:name w:val="标题 8 Char"/>
    <w:link w:val="957"/>
    <w:uiPriority w:val="0"/>
    <w:qFormat/>
    <w:rPr>
      <w:rFonts w:ascii="Arial" w:hAnsi="Arial" w:eastAsia="黑体" w:cs="Times New Roman"/>
      <w:sz w:val="24"/>
      <w:szCs w:val="24"/>
    </w:rPr>
  </w:style>
  <w:style w:type="character" w:styleId="971" w:customStyle="1">
    <w:name w:val="标题 9 Char"/>
    <w:link w:val="958"/>
    <w:uiPriority w:val="0"/>
    <w:qFormat/>
    <w:rPr>
      <w:rFonts w:ascii="Arial" w:hAnsi="Arial" w:eastAsia="黑体" w:cs="Times New Roman"/>
      <w:szCs w:val="21"/>
    </w:rPr>
  </w:style>
  <w:style w:type="paragraph" w:styleId="972" w:customStyle="1">
    <w:name w:val="列表 31"/>
    <w:basedOn w:val="765"/>
    <w:uiPriority w:val="0"/>
    <w:qFormat/>
    <w:pPr>
      <w:ind w:left="100" w:hanging="200"/>
    </w:pPr>
    <w:rPr>
      <w:rFonts w:ascii="Times New Roman" w:hAnsi="Times New Roman" w:eastAsia="宋体" w:cs="Times New Roman"/>
      <w:szCs w:val="21"/>
    </w:rPr>
  </w:style>
  <w:style w:type="paragraph" w:styleId="973" w:customStyle="1">
    <w:name w:val="目录 71"/>
    <w:basedOn w:val="765"/>
    <w:next w:val="765"/>
    <w:uiPriority w:val="0"/>
    <w:semiHidden/>
    <w:qFormat/>
    <w:pPr>
      <w:ind w:left="1260"/>
      <w:jc w:val="left"/>
    </w:pPr>
    <w:rPr>
      <w:rFonts w:ascii="Times New Roman" w:hAnsi="Times New Roman" w:eastAsia="宋体" w:cs="Times New Roman"/>
      <w:szCs w:val="21"/>
    </w:rPr>
  </w:style>
  <w:style w:type="paragraph" w:styleId="974" w:customStyle="1">
    <w:name w:val="文档结构图1"/>
    <w:basedOn w:val="765"/>
    <w:link w:val="975"/>
    <w:uiPriority w:val="0"/>
    <w:semiHidden/>
    <w:qFormat/>
    <w:pPr>
      <w:shd w:val="clear" w:color="auto" w:fill="000080"/>
    </w:pPr>
    <w:rPr>
      <w:rFonts w:ascii="Times New Roman" w:hAnsi="Times New Roman" w:eastAsia="宋体" w:cs="Times New Roman"/>
      <w:szCs w:val="21"/>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65"/>
    <w:link w:val="977"/>
    <w:uiPriority w:val="0"/>
    <w:unhideWhenUsed/>
    <w:qFormat/>
    <w:pPr>
      <w:jc w:val="left"/>
    </w:pPr>
  </w:style>
  <w:style w:type="character" w:styleId="977" w:customStyle="1">
    <w:name w:val="批注文字 Char"/>
    <w:basedOn w:val="959"/>
    <w:link w:val="976"/>
    <w:uiPriority w:val="99"/>
    <w:semiHidden/>
    <w:qFormat/>
  </w:style>
  <w:style w:type="paragraph" w:styleId="978" w:customStyle="1">
    <w:name w:val="正文文本 31"/>
    <w:basedOn w:val="765"/>
    <w:link w:val="979"/>
    <w:uiPriority w:val="0"/>
    <w:qFormat/>
    <w:rPr>
      <w:rFonts w:ascii="仿宋_GB2312" w:hAnsi="Arial" w:eastAsia="仿宋_GB2312" w:cs="Times New Roman"/>
      <w:sz w:val="32"/>
      <w:szCs w:val="32"/>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1"/>
    <w:basedOn w:val="765"/>
    <w:link w:val="981"/>
    <w:uiPriority w:val="0"/>
    <w:qFormat/>
    <w:rPr>
      <w:rFonts w:ascii="楷体_GB2312" w:hAnsi="Arial" w:eastAsia="楷体_GB2312" w:cs="Times New Roman"/>
      <w:sz w:val="28"/>
      <w:szCs w:val="28"/>
    </w:rPr>
  </w:style>
  <w:style w:type="character" w:styleId="981" w:customStyle="1">
    <w:name w:val="正文文本 Char"/>
    <w:link w:val="980"/>
    <w:uiPriority w:val="0"/>
    <w:qFormat/>
    <w:rPr>
      <w:rFonts w:ascii="楷体_GB2312" w:hAnsi="Arial" w:eastAsia="楷体_GB2312" w:cs="Times New Roman"/>
      <w:sz w:val="28"/>
      <w:szCs w:val="28"/>
    </w:rPr>
  </w:style>
  <w:style w:type="paragraph" w:styleId="982" w:customStyle="1">
    <w:name w:val="正文文本缩进11"/>
    <w:basedOn w:val="765"/>
    <w:next w:val="983"/>
    <w:link w:val="984"/>
    <w:uiPriority w:val="0"/>
    <w:unhideWhenUsed/>
    <w:qFormat/>
    <w:pPr>
      <w:ind w:left="420"/>
      <w:spacing w:after="120"/>
    </w:pPr>
  </w:style>
  <w:style w:type="paragraph" w:styleId="983" w:customStyle="1">
    <w:name w:val="寄信人地址1"/>
    <w:basedOn w:val="765"/>
    <w:uiPriority w:val="0"/>
    <w:qFormat/>
    <w:rPr>
      <w:rFonts w:ascii="Arial" w:hAnsi="Arial" w:eastAsia="宋体" w:cs="宋体"/>
    </w:rPr>
  </w:style>
  <w:style w:type="character" w:styleId="984" w:customStyle="1">
    <w:name w:val="正文文本缩进 Char"/>
    <w:basedOn w:val="959"/>
    <w:link w:val="982"/>
    <w:uiPriority w:val="99"/>
    <w:semiHidden/>
    <w:qFormat/>
  </w:style>
  <w:style w:type="paragraph" w:styleId="985" w:customStyle="1">
    <w:name w:val="列表 21"/>
    <w:basedOn w:val="765"/>
    <w:uiPriority w:val="0"/>
    <w:qFormat/>
    <w:pPr>
      <w:ind w:left="100" w:hanging="200"/>
    </w:pPr>
    <w:rPr>
      <w:rFonts w:ascii="Times New Roman" w:hAnsi="Times New Roman" w:eastAsia="宋体" w:cs="Times New Roman"/>
      <w:szCs w:val="21"/>
    </w:rPr>
  </w:style>
  <w:style w:type="paragraph" w:styleId="986" w:customStyle="1">
    <w:name w:val="索引 412"/>
    <w:basedOn w:val="765"/>
    <w:next w:val="765"/>
    <w:uiPriority w:val="0"/>
    <w:semiHidden/>
    <w:qFormat/>
    <w:pPr>
      <w:ind w:left="1260"/>
    </w:pPr>
    <w:rPr>
      <w:rFonts w:ascii="Calibri" w:hAnsi="Calibri" w:eastAsia="Calibri" w:cs="宋体"/>
      <w:sz w:val="20"/>
      <w:lang w:val="zh-CN"/>
    </w:rPr>
  </w:style>
  <w:style w:type="paragraph" w:styleId="987" w:customStyle="1">
    <w:name w:val="目录 51"/>
    <w:basedOn w:val="765"/>
    <w:next w:val="765"/>
    <w:uiPriority w:val="0"/>
    <w:semiHidden/>
    <w:qFormat/>
    <w:pPr>
      <w:ind w:left="840"/>
      <w:jc w:val="left"/>
    </w:pPr>
    <w:rPr>
      <w:rFonts w:ascii="Times New Roman" w:hAnsi="Times New Roman" w:eastAsia="宋体" w:cs="Times New Roman"/>
      <w:szCs w:val="21"/>
    </w:rPr>
  </w:style>
  <w:style w:type="paragraph" w:styleId="988" w:customStyle="1">
    <w:name w:val="目录 31"/>
    <w:basedOn w:val="765"/>
    <w:next w:val="765"/>
    <w:uiPriority w:val="0"/>
    <w:semiHidden/>
    <w:qFormat/>
    <w:pPr>
      <w:ind w:left="420"/>
      <w:jc w:val="left"/>
    </w:pPr>
    <w:rPr>
      <w:rFonts w:ascii="Times New Roman" w:hAnsi="Times New Roman" w:eastAsia="宋体" w:cs="Times New Roman"/>
      <w:i/>
      <w:iCs/>
      <w:szCs w:val="24"/>
    </w:rPr>
  </w:style>
  <w:style w:type="paragraph" w:styleId="989" w:customStyle="1">
    <w:name w:val="纯文本11"/>
    <w:basedOn w:val="765"/>
    <w:link w:val="990"/>
    <w:uiPriority w:val="0"/>
    <w:qFormat/>
    <w:rPr>
      <w:rFonts w:ascii="宋体" w:hAnsi="Courier New" w:eastAsia="宋体" w:cs="Courier New"/>
      <w:szCs w:val="21"/>
    </w:rPr>
  </w:style>
  <w:style w:type="character" w:styleId="990" w:customStyle="1">
    <w:name w:val="纯文本 Char"/>
    <w:link w:val="989"/>
    <w:uiPriority w:val="0"/>
    <w:qFormat/>
    <w:rPr>
      <w:rFonts w:ascii="宋体" w:hAnsi="Courier New" w:eastAsia="宋体" w:cs="Courier New"/>
      <w:szCs w:val="21"/>
    </w:rPr>
  </w:style>
  <w:style w:type="paragraph" w:styleId="991" w:customStyle="1">
    <w:name w:val="目录 81"/>
    <w:basedOn w:val="765"/>
    <w:next w:val="765"/>
    <w:uiPriority w:val="0"/>
    <w:semiHidden/>
    <w:qFormat/>
    <w:pPr>
      <w:ind w:left="1470"/>
      <w:jc w:val="left"/>
    </w:pPr>
    <w:rPr>
      <w:rFonts w:ascii="Times New Roman" w:hAnsi="Times New Roman" w:eastAsia="宋体" w:cs="Times New Roman"/>
      <w:szCs w:val="21"/>
    </w:rPr>
  </w:style>
  <w:style w:type="paragraph" w:styleId="992" w:customStyle="1">
    <w:name w:val="日期1"/>
    <w:basedOn w:val="765"/>
    <w:next w:val="765"/>
    <w:link w:val="993"/>
    <w:uiPriority w:val="0"/>
    <w:qFormat/>
    <w:rPr>
      <w:rFonts w:ascii="Times New Roman" w:hAnsi="Times New Roman" w:eastAsia="宋体" w:cs="Times New Roman"/>
      <w:sz w:val="24"/>
      <w:szCs w:val="24"/>
    </w:rPr>
  </w:style>
  <w:style w:type="character" w:styleId="993" w:customStyle="1">
    <w:name w:val="日期 Char"/>
    <w:link w:val="992"/>
    <w:uiPriority w:val="0"/>
    <w:qFormat/>
    <w:rPr>
      <w:rFonts w:ascii="Times New Roman" w:hAnsi="Times New Roman" w:eastAsia="宋体" w:cs="Times New Roman"/>
      <w:sz w:val="24"/>
      <w:szCs w:val="24"/>
    </w:rPr>
  </w:style>
  <w:style w:type="paragraph" w:styleId="994" w:customStyle="1">
    <w:name w:val="正文文本缩进 21"/>
    <w:basedOn w:val="765"/>
    <w:link w:val="995"/>
    <w:uiPriority w:val="0"/>
    <w:qFormat/>
    <w:pPr>
      <w:ind w:left="630" w:firstLine="645"/>
    </w:pPr>
    <w:rPr>
      <w:rFonts w:ascii="Arial" w:hAnsi="Arial" w:eastAsia="仿宋_GB2312" w:cs="Arial"/>
      <w:sz w:val="32"/>
      <w:szCs w:val="32"/>
    </w:rPr>
  </w:style>
  <w:style w:type="character" w:styleId="995" w:customStyle="1">
    <w:name w:val="正文文本缩进 2 Char"/>
    <w:link w:val="994"/>
    <w:uiPriority w:val="0"/>
    <w:qFormat/>
    <w:rPr>
      <w:rFonts w:ascii="Arial" w:hAnsi="Arial" w:eastAsia="仿宋_GB2312" w:cs="Arial"/>
      <w:sz w:val="32"/>
      <w:szCs w:val="32"/>
    </w:rPr>
  </w:style>
  <w:style w:type="paragraph" w:styleId="996" w:customStyle="1">
    <w:name w:val="批注框文本1"/>
    <w:basedOn w:val="765"/>
    <w:link w:val="997"/>
    <w:uiPriority w:val="0"/>
    <w:semiHidden/>
    <w:qFormat/>
    <w:rPr>
      <w:rFonts w:ascii="Times New Roman" w:hAnsi="Times New Roman" w:eastAsia="宋体" w:cs="Times New Roman"/>
      <w:sz w:val="18"/>
      <w:szCs w:val="18"/>
    </w:rPr>
  </w:style>
  <w:style w:type="character" w:styleId="997" w:customStyle="1">
    <w:name w:val="批注框文本 Char"/>
    <w:link w:val="996"/>
    <w:uiPriority w:val="0"/>
    <w:semiHidden/>
    <w:qFormat/>
    <w:rPr>
      <w:rFonts w:ascii="Times New Roman" w:hAnsi="Times New Roman" w:eastAsia="宋体" w:cs="Times New Roman"/>
      <w:sz w:val="18"/>
      <w:szCs w:val="18"/>
    </w:rPr>
  </w:style>
  <w:style w:type="paragraph" w:styleId="998" w:customStyle="1">
    <w:name w:val="页脚1"/>
    <w:basedOn w:val="765"/>
    <w:link w:val="99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9" w:customStyle="1">
    <w:name w:val="页脚 Char"/>
    <w:link w:val="998"/>
    <w:uiPriority w:val="0"/>
    <w:qFormat/>
    <w:rPr>
      <w:rFonts w:ascii="Times New Roman" w:hAnsi="Times New Roman" w:eastAsia="宋体" w:cs="Times New Roman"/>
      <w:sz w:val="18"/>
      <w:szCs w:val="18"/>
    </w:rPr>
  </w:style>
  <w:style w:type="paragraph" w:styleId="1000" w:customStyle="1">
    <w:name w:val="页眉1"/>
    <w:basedOn w:val="765"/>
    <w:link w:val="100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1" w:customStyle="1">
    <w:name w:val="页眉 Char"/>
    <w:link w:val="1000"/>
    <w:uiPriority w:val="0"/>
    <w:qFormat/>
    <w:rPr>
      <w:rFonts w:ascii="Times New Roman" w:hAnsi="Times New Roman" w:eastAsia="宋体" w:cs="Times New Roman"/>
      <w:sz w:val="18"/>
      <w:szCs w:val="18"/>
    </w:rPr>
  </w:style>
  <w:style w:type="paragraph" w:styleId="1002" w:customStyle="1">
    <w:name w:val="目录 11"/>
    <w:basedOn w:val="765"/>
    <w:next w:val="76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3" w:customStyle="1">
    <w:name w:val="目录 41"/>
    <w:basedOn w:val="765"/>
    <w:next w:val="765"/>
    <w:uiPriority w:val="0"/>
    <w:semiHidden/>
    <w:qFormat/>
    <w:pPr>
      <w:ind w:left="630"/>
      <w:jc w:val="left"/>
    </w:pPr>
    <w:rPr>
      <w:rFonts w:ascii="Times New Roman" w:hAnsi="Times New Roman" w:eastAsia="宋体" w:cs="Times New Roman"/>
      <w:szCs w:val="21"/>
    </w:rPr>
  </w:style>
  <w:style w:type="paragraph" w:styleId="1004" w:customStyle="1">
    <w:name w:val="列表1"/>
    <w:basedOn w:val="765"/>
    <w:uiPriority w:val="0"/>
    <w:qFormat/>
    <w:pPr>
      <w:ind w:left="200" w:hanging="200"/>
    </w:pPr>
    <w:rPr>
      <w:rFonts w:ascii="Times New Roman" w:hAnsi="Times New Roman" w:eastAsia="宋体" w:cs="Times New Roman"/>
      <w:szCs w:val="21"/>
    </w:rPr>
  </w:style>
  <w:style w:type="paragraph" w:styleId="1005" w:customStyle="1">
    <w:name w:val="目录 61"/>
    <w:basedOn w:val="765"/>
    <w:next w:val="765"/>
    <w:uiPriority w:val="0"/>
    <w:semiHidden/>
    <w:qFormat/>
    <w:pPr>
      <w:ind w:left="1050"/>
      <w:jc w:val="left"/>
    </w:pPr>
    <w:rPr>
      <w:rFonts w:ascii="Times New Roman" w:hAnsi="Times New Roman" w:eastAsia="宋体" w:cs="Times New Roman"/>
      <w:szCs w:val="21"/>
    </w:rPr>
  </w:style>
  <w:style w:type="paragraph" w:styleId="1006" w:customStyle="1">
    <w:name w:val="正文文本缩进 31"/>
    <w:basedOn w:val="765"/>
    <w:link w:val="1007"/>
    <w:uiPriority w:val="0"/>
    <w:qFormat/>
    <w:pPr>
      <w:ind w:left="645" w:firstLine="645"/>
    </w:pPr>
    <w:rPr>
      <w:rFonts w:ascii="Arial" w:hAnsi="Arial" w:eastAsia="仿宋_GB2312" w:cs="Arial"/>
      <w:color w:val="ffff00"/>
      <w:sz w:val="32"/>
      <w:szCs w:val="32"/>
    </w:rPr>
  </w:style>
  <w:style w:type="character" w:styleId="1007" w:customStyle="1">
    <w:name w:val="正文文本缩进 3 Char"/>
    <w:link w:val="1006"/>
    <w:uiPriority w:val="0"/>
    <w:qFormat/>
    <w:rPr>
      <w:rFonts w:ascii="Arial" w:hAnsi="Arial" w:eastAsia="仿宋_GB2312" w:cs="Arial"/>
      <w:color w:val="ffff00"/>
      <w:sz w:val="32"/>
      <w:szCs w:val="32"/>
    </w:rPr>
  </w:style>
  <w:style w:type="paragraph" w:styleId="1008" w:customStyle="1">
    <w:name w:val="图表目录1"/>
    <w:basedOn w:val="765"/>
    <w:next w:val="765"/>
    <w:uiPriority w:val="0"/>
    <w:semiHidden/>
    <w:qFormat/>
    <w:pPr>
      <w:ind w:left="840" w:hanging="420"/>
    </w:pPr>
    <w:rPr>
      <w:rFonts w:ascii="Times New Roman" w:hAnsi="Times New Roman" w:eastAsia="宋体" w:cs="Times New Roman"/>
      <w:szCs w:val="21"/>
    </w:rPr>
  </w:style>
  <w:style w:type="paragraph" w:styleId="1009" w:customStyle="1">
    <w:name w:val="目录 21"/>
    <w:basedOn w:val="765"/>
    <w:next w:val="765"/>
    <w:uiPriority w:val="0"/>
    <w:semiHidden/>
    <w:qFormat/>
    <w:pPr>
      <w:ind w:left="210"/>
      <w:jc w:val="left"/>
    </w:pPr>
    <w:rPr>
      <w:rFonts w:ascii="Times New Roman" w:hAnsi="Times New Roman" w:eastAsia="宋体" w:cs="Times New Roman"/>
      <w:smallCaps/>
      <w:szCs w:val="24"/>
    </w:rPr>
  </w:style>
  <w:style w:type="paragraph" w:styleId="1010" w:customStyle="1">
    <w:name w:val="目录 91"/>
    <w:basedOn w:val="765"/>
    <w:next w:val="765"/>
    <w:uiPriority w:val="0"/>
    <w:semiHidden/>
    <w:qFormat/>
    <w:pPr>
      <w:ind w:left="1680"/>
      <w:jc w:val="left"/>
    </w:pPr>
    <w:rPr>
      <w:rFonts w:ascii="Times New Roman" w:hAnsi="Times New Roman" w:eastAsia="宋体" w:cs="Times New Roman"/>
      <w:szCs w:val="21"/>
    </w:rPr>
  </w:style>
  <w:style w:type="paragraph" w:styleId="1011" w:customStyle="1">
    <w:name w:val="正文文本 21"/>
    <w:basedOn w:val="765"/>
    <w:link w:val="1012"/>
    <w:uiPriority w:val="0"/>
    <w:qFormat/>
    <w:pPr>
      <w:jc w:val="center"/>
      <w:widowControl/>
    </w:pPr>
    <w:rPr>
      <w:rFonts w:ascii="楷体_GB2312" w:hAnsi="Times New Roman" w:eastAsia="楷体_GB2312" w:cs="Times New Roman"/>
      <w:sz w:val="28"/>
      <w:szCs w:val="28"/>
    </w:rPr>
  </w:style>
  <w:style w:type="character" w:styleId="1012" w:customStyle="1">
    <w:name w:val="正文文本 2 Char"/>
    <w:link w:val="1011"/>
    <w:uiPriority w:val="0"/>
    <w:qFormat/>
    <w:rPr>
      <w:rFonts w:ascii="楷体_GB2312" w:hAnsi="Times New Roman" w:eastAsia="楷体_GB2312" w:cs="Times New Roman"/>
      <w:sz w:val="28"/>
      <w:szCs w:val="28"/>
    </w:rPr>
  </w:style>
  <w:style w:type="paragraph" w:styleId="1013" w:customStyle="1">
    <w:name w:val="普通(网站)1"/>
    <w:basedOn w:val="765"/>
    <w:uiPriority w:val="99"/>
    <w:qFormat/>
    <w:pPr>
      <w:jc w:val="left"/>
      <w:spacing w:before="100" w:beforeAutospacing="1" w:after="100" w:afterAutospacing="1"/>
      <w:widowControl/>
    </w:pPr>
    <w:rPr>
      <w:rFonts w:ascii="宋体" w:hAnsi="宋体" w:eastAsia="宋体" w:cs="宋体"/>
      <w:sz w:val="24"/>
      <w:szCs w:val="24"/>
    </w:rPr>
  </w:style>
  <w:style w:type="paragraph" w:styleId="1014" w:customStyle="1">
    <w:name w:val="索引 11"/>
    <w:basedOn w:val="765"/>
    <w:next w:val="765"/>
    <w:uiPriority w:val="0"/>
    <w:semiHidden/>
    <w:qFormat/>
    <w:pPr>
      <w:spacing w:line="240" w:lineRule="atLeast"/>
    </w:pPr>
    <w:rPr>
      <w:rFonts w:ascii="Times New Roman" w:hAnsi="Times New Roman" w:eastAsia="宋体" w:cs="Times New Roman"/>
      <w:b/>
      <w:bCs/>
      <w:szCs w:val="21"/>
    </w:rPr>
  </w:style>
  <w:style w:type="paragraph" w:styleId="1015" w:customStyle="1">
    <w:name w:val="批注主题1"/>
    <w:basedOn w:val="976"/>
    <w:next w:val="976"/>
    <w:link w:val="1016"/>
    <w:uiPriority w:val="0"/>
    <w:semiHidden/>
    <w:qFormat/>
    <w:rPr>
      <w:rFonts w:ascii="Times New Roman" w:hAnsi="Times New Roman" w:eastAsia="宋体" w:cs="Times New Roman"/>
      <w:b/>
      <w:bCs/>
      <w:szCs w:val="21"/>
    </w:rPr>
  </w:style>
  <w:style w:type="character" w:styleId="1016" w:customStyle="1">
    <w:name w:val="批注主题 Char"/>
    <w:link w:val="1015"/>
    <w:uiPriority w:val="0"/>
    <w:semiHidden/>
    <w:qFormat/>
    <w:rPr>
      <w:rFonts w:ascii="Times New Roman" w:hAnsi="Times New Roman" w:eastAsia="宋体" w:cs="Times New Roman"/>
      <w:b/>
      <w:bCs/>
      <w:szCs w:val="21"/>
    </w:rPr>
  </w:style>
  <w:style w:type="paragraph" w:styleId="1017" w:customStyle="1">
    <w:name w:val="正文首行缩进1"/>
    <w:basedOn w:val="765"/>
    <w:link w:val="1018"/>
    <w:uiPriority w:val="0"/>
    <w:qFormat/>
    <w:pPr>
      <w:ind w:firstLine="200"/>
      <w:spacing w:line="360" w:lineRule="auto"/>
    </w:pPr>
    <w:rPr>
      <w:rFonts w:ascii="仿宋_GB2312" w:hAnsi="Times New Roman" w:eastAsia="仿宋_GB2312" w:cs="Times New Roman"/>
      <w:sz w:val="30"/>
      <w:szCs w:val="30"/>
    </w:rPr>
  </w:style>
  <w:style w:type="character" w:styleId="1018" w:customStyle="1">
    <w:name w:val="正文首行缩进 Char"/>
    <w:link w:val="1017"/>
    <w:uiPriority w:val="0"/>
    <w:qFormat/>
    <w:rPr>
      <w:rFonts w:ascii="仿宋_GB2312" w:hAnsi="Times New Roman" w:eastAsia="仿宋_GB2312" w:cs="Times New Roman"/>
      <w:sz w:val="30"/>
      <w:szCs w:val="30"/>
    </w:rPr>
  </w:style>
  <w:style w:type="paragraph" w:styleId="1019" w:customStyle="1">
    <w:name w:val="正文首行缩进 21"/>
    <w:basedOn w:val="982"/>
    <w:next w:val="765"/>
    <w:link w:val="1020"/>
    <w:uiPriority w:val="0"/>
    <w:qFormat/>
    <w:pPr>
      <w:ind w:left="0" w:firstLine="420"/>
      <w:spacing w:after="0" w:line="360" w:lineRule="auto"/>
    </w:pPr>
    <w:rPr>
      <w:rFonts w:ascii="宋体" w:hAnsi="宋体" w:eastAsia="宋体" w:cs="Times New Roman"/>
      <w:szCs w:val="20"/>
    </w:rPr>
  </w:style>
  <w:style w:type="character" w:styleId="1020" w:customStyle="1">
    <w:name w:val="正文首行缩进 2 Char"/>
    <w:link w:val="1019"/>
    <w:uiPriority w:val="0"/>
    <w:qFormat/>
    <w:rPr>
      <w:rFonts w:ascii="宋体" w:hAnsi="宋体" w:eastAsia="宋体" w:cs="Times New Roman"/>
      <w:szCs w:val="20"/>
    </w:rPr>
  </w:style>
  <w:style w:type="table" w:styleId="1021" w:customStyle="1">
    <w:name w:val="网格型11"/>
    <w:basedOn w:val="960"/>
    <w:uiPriority w:val="0"/>
    <w:qFormat/>
    <w:pPr>
      <w:jc w:val="both"/>
      <w:widowControl w:val="off"/>
    </w:pPr>
    <w:rPr>
      <w:rFonts w:ascii="Times New Roman" w:hAnsi="Times New Roman" w:eastAsia="宋体" w:cs="Times New Roman"/>
      <w:sz w:val="20"/>
      <w:szCs w:val="20"/>
    </w:rPr>
    <w:tblPr/>
  </w:style>
  <w:style w:type="character" w:styleId="1022" w:customStyle="1">
    <w:name w:val="要点1"/>
    <w:link w:val="765"/>
    <w:uiPriority w:val="0"/>
    <w:qFormat/>
    <w:rPr>
      <w:b/>
      <w:bCs/>
    </w:rPr>
  </w:style>
  <w:style w:type="character" w:styleId="1023" w:customStyle="1">
    <w:name w:val="页码1"/>
    <w:link w:val="765"/>
    <w:uiPriority w:val="0"/>
    <w:qFormat/>
  </w:style>
  <w:style w:type="character" w:styleId="1024" w:customStyle="1">
    <w:name w:val="已访问的超链接1"/>
    <w:link w:val="765"/>
    <w:uiPriority w:val="0"/>
    <w:qFormat/>
    <w:rPr>
      <w:color w:val="800080"/>
      <w:u w:val="single"/>
    </w:rPr>
  </w:style>
  <w:style w:type="character" w:styleId="1025" w:customStyle="1">
    <w:name w:val="超链接1"/>
    <w:link w:val="765"/>
    <w:uiPriority w:val="0"/>
    <w:qFormat/>
    <w:rPr>
      <w:color w:val="0000ff"/>
      <w:u w:val="single"/>
    </w:rPr>
  </w:style>
  <w:style w:type="character" w:styleId="1026" w:customStyle="1">
    <w:name w:val="批注引用1"/>
    <w:link w:val="765"/>
    <w:uiPriority w:val="0"/>
    <w:semiHidden/>
    <w:qFormat/>
    <w:rPr>
      <w:sz w:val="21"/>
      <w:szCs w:val="21"/>
    </w:rPr>
  </w:style>
  <w:style w:type="paragraph" w:styleId="1027" w:customStyle="1">
    <w:name w:val="正文文本缩进1"/>
    <w:basedOn w:val="765"/>
    <w:next w:val="1028"/>
    <w:uiPriority w:val="0"/>
    <w:unhideWhenUsed/>
    <w:qFormat/>
    <w:pPr>
      <w:ind w:left="420"/>
      <w:spacing w:after="120"/>
    </w:pPr>
  </w:style>
  <w:style w:type="paragraph" w:styleId="1028" w:customStyle="1">
    <w:name w:val="正文文本首行缩进 2"/>
    <w:basedOn w:val="1027"/>
    <w:uiPriority w:val="0"/>
    <w:qFormat/>
    <w:pPr>
      <w:ind w:left="0" w:firstLine="420"/>
      <w:spacing w:after="0" w:line="360" w:lineRule="auto"/>
    </w:pPr>
    <w:rPr>
      <w:rFonts w:ascii="宋体" w:hAnsi="宋体"/>
      <w:sz w:val="20"/>
      <w:szCs w:val="20"/>
      <w:lang w:val="en-US" w:eastAsia="en-US"/>
    </w:rPr>
  </w:style>
  <w:style w:type="paragraph" w:styleId="1029" w:customStyle="1">
    <w:name w:val="索引 41"/>
    <w:basedOn w:val="765"/>
    <w:next w:val="765"/>
    <w:uiPriority w:val="0"/>
    <w:semiHidden/>
    <w:qFormat/>
    <w:pPr>
      <w:ind w:left="1260"/>
    </w:pPr>
    <w:rPr>
      <w:rFonts w:ascii="Calibri" w:hAnsi="Calibri" w:eastAsia="Calibri" w:cs="宋体"/>
      <w:sz w:val="20"/>
      <w:lang w:val="zh-CN"/>
    </w:rPr>
  </w:style>
  <w:style w:type="character" w:styleId="1030" w:customStyle="1">
    <w:name w:val="font5 Char"/>
    <w:link w:val="765"/>
    <w:uiPriority w:val="0"/>
    <w:qFormat/>
    <w:rPr>
      <w:rFonts w:ascii="宋体" w:hAnsi="宋体" w:eastAsia="宋体"/>
      <w:sz w:val="28"/>
      <w:szCs w:val="28"/>
      <w:lang w:val="en-US" w:eastAsia="zh-CN" w:bidi="ar-SA"/>
    </w:rPr>
  </w:style>
  <w:style w:type="character" w:styleId="1031" w:customStyle="1">
    <w:name w:val="二级目录 Char"/>
    <w:link w:val="1032"/>
    <w:uiPriority w:val="0"/>
    <w:qFormat/>
    <w:rPr>
      <w:b/>
      <w:sz w:val="30"/>
      <w:szCs w:val="28"/>
    </w:rPr>
  </w:style>
  <w:style w:type="paragraph" w:styleId="1032" w:customStyle="1">
    <w:name w:val="二级目录"/>
    <w:next w:val="765"/>
    <w:link w:val="10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765"/>
    <w:link w:val="1033"/>
    <w:uiPriority w:val="0"/>
    <w:qFormat/>
    <w:pPr>
      <w:contextualSpacing/>
      <w:ind w:left="720"/>
      <w:jc w:val="left"/>
      <w:widowControl/>
    </w:pPr>
    <w:rPr>
      <w:rFonts w:ascii="Calibri" w:hAnsi="Calibri"/>
      <w:sz w:val="24"/>
      <w:szCs w:val="24"/>
      <w:lang w:eastAsia="en-US" w:bidi="en-US"/>
    </w:rPr>
  </w:style>
  <w:style w:type="paragraph" w:styleId="1035" w:customStyle="1">
    <w:name w:val="Body Text(ch)"/>
    <w:basedOn w:val="765"/>
    <w:next w:val="980"/>
    <w:uiPriority w:val="0"/>
    <w:qFormat/>
    <w:pPr>
      <w:spacing w:after="120"/>
    </w:pPr>
    <w:rPr>
      <w:rFonts w:ascii="宋体" w:hAnsi="Arial" w:eastAsia="宋体" w:cs="Times New Roman"/>
      <w:bCs/>
      <w:iCs/>
      <w:szCs w:val="24"/>
    </w:rPr>
  </w:style>
  <w:style w:type="paragraph" w:styleId="1036" w:customStyle="1">
    <w:name w:val="xl27"/>
    <w:basedOn w:val="7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customStyle="1">
    <w:name w:val="xl26"/>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customStyle="1">
    <w:name w:val="Char"/>
    <w:basedOn w:val="765"/>
    <w:uiPriority w:val="0"/>
    <w:qFormat/>
    <w:pPr>
      <w:ind w:firstLine="200"/>
      <w:tabs>
        <w:tab w:val="left" w:pos="360" w:leader="none"/>
      </w:tabs>
    </w:pPr>
    <w:rPr>
      <w:rFonts w:ascii="Times New Roman" w:hAnsi="Times New Roman" w:eastAsia="宋体" w:cs="Times New Roman"/>
      <w:sz w:val="28"/>
      <w:szCs w:val="30"/>
    </w:rPr>
  </w:style>
  <w:style w:type="paragraph" w:styleId="1039" w:customStyle="1">
    <w:name w:val=" Char"/>
    <w:basedOn w:val="974"/>
    <w:uiPriority w:val="0"/>
    <w:qFormat/>
    <w:rPr>
      <w:rFonts w:ascii="Tahoma" w:hAnsi="Tahoma"/>
      <w:sz w:val="24"/>
      <w:szCs w:val="24"/>
    </w:rPr>
  </w:style>
  <w:style w:type="paragraph" w:styleId="1040" w:customStyle="1">
    <w:name w:val="普通正文"/>
    <w:basedOn w:val="765"/>
    <w:uiPriority w:val="0"/>
    <w:qFormat/>
    <w:pPr>
      <w:ind w:firstLine="480"/>
      <w:jc w:val="left"/>
      <w:spacing w:before="120" w:after="120" w:line="360" w:lineRule="auto"/>
    </w:pPr>
    <w:rPr>
      <w:rFonts w:ascii="Arial" w:hAnsi="Arial" w:eastAsia="宋体" w:cs="Times New Roman"/>
      <w:sz w:val="24"/>
      <w:szCs w:val="24"/>
    </w:rPr>
  </w:style>
  <w:style w:type="paragraph" w:styleId="1041" w:customStyle="1">
    <w:name w:val="table_lines"/>
    <w:basedOn w:val="765"/>
    <w:uiPriority w:val="0"/>
    <w:qFormat/>
    <w:pPr>
      <w:jc w:val="left"/>
      <w:widowControl/>
    </w:pPr>
    <w:rPr>
      <w:rFonts w:ascii="Times New Roman" w:hAnsi="Times New Roman" w:eastAsia="宋体" w:cs="Times New Roman"/>
      <w:sz w:val="20"/>
      <w:szCs w:val="20"/>
      <w:lang w:val="de-DE" w:eastAsia="de-DE"/>
    </w:rPr>
  </w:style>
  <w:style w:type="paragraph" w:styleId="10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3" w:customStyle="1">
    <w:name w:val="font7"/>
    <w:basedOn w:val="76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4" w:customStyle="1">
    <w:name w:val=" Char Char Char Char"/>
    <w:basedOn w:val="974"/>
    <w:uiPriority w:val="0"/>
    <w:qFormat/>
    <w:pPr>
      <w:spacing w:line="360" w:lineRule="auto"/>
    </w:pPr>
    <w:rPr>
      <w:rFonts w:ascii="Tahoma" w:hAnsi="Tahoma"/>
      <w:sz w:val="24"/>
      <w:szCs w:val="24"/>
    </w:rPr>
  </w:style>
  <w:style w:type="paragraph" w:styleId="1045">
    <w:name w:val="List Paragraph"/>
    <w:basedOn w:val="765"/>
    <w:uiPriority w:val="0"/>
    <w:qFormat/>
    <w:pPr>
      <w:contextualSpacing/>
      <w:ind w:left="720"/>
      <w:jc w:val="left"/>
      <w:widowControl/>
    </w:pPr>
    <w:rPr>
      <w:rFonts w:ascii="Calibri" w:hAnsi="Calibri" w:eastAsia="宋体" w:cs="Times New Roman"/>
      <w:sz w:val="24"/>
      <w:szCs w:val="24"/>
      <w:lang w:eastAsia="en-US" w:bidi="en-US"/>
    </w:rPr>
  </w:style>
  <w:style w:type="paragraph" w:styleId="1046" w:customStyle="1">
    <w:name w:val="4"/>
    <w:basedOn w:val="765"/>
    <w:next w:val="1006"/>
    <w:uiPriority w:val="0"/>
    <w:qFormat/>
    <w:pPr>
      <w:ind w:firstLine="420"/>
      <w:spacing w:line="360" w:lineRule="auto"/>
    </w:pPr>
    <w:rPr>
      <w:rFonts w:ascii="Times New Roman" w:hAnsi="Times New Roman" w:eastAsia="宋体" w:cs="Times New Roman"/>
      <w:color w:val="ff0000"/>
      <w:sz w:val="24"/>
      <w:szCs w:val="24"/>
    </w:rPr>
  </w:style>
  <w:style w:type="paragraph" w:styleId="1047" w:customStyle="1">
    <w:name w:val="普通 (Web)"/>
    <w:basedOn w:val="765"/>
    <w:uiPriority w:val="0"/>
    <w:qFormat/>
    <w:pPr>
      <w:jc w:val="left"/>
      <w:spacing w:before="100" w:beforeAutospacing="1" w:after="100" w:afterAutospacing="1"/>
      <w:widowControl/>
    </w:pPr>
    <w:rPr>
      <w:rFonts w:ascii="宋体" w:hAnsi="宋体" w:eastAsia="宋体" w:cs="Times New Roman"/>
      <w:sz w:val="24"/>
      <w:szCs w:val="24"/>
    </w:rPr>
  </w:style>
  <w:style w:type="paragraph" w:styleId="1048" w:customStyle="1">
    <w:name w:val=" Char Char Char Char Char Char Char Char Char Char"/>
    <w:basedOn w:val="765"/>
    <w:uiPriority w:val="0"/>
    <w:qFormat/>
    <w:pPr>
      <w:spacing w:line="360" w:lineRule="auto"/>
    </w:pPr>
    <w:rPr>
      <w:rFonts w:ascii="Times New Roman" w:hAnsi="Times New Roman" w:eastAsia="宋体" w:cs="Times New Roman"/>
      <w:sz w:val="24"/>
      <w:szCs w:val="20"/>
    </w:rPr>
  </w:style>
  <w:style w:type="paragraph" w:styleId="1049" w:customStyle="1">
    <w:name w:val="样式1"/>
    <w:basedOn w:val="765"/>
    <w:uiPriority w:val="0"/>
    <w:qFormat/>
    <w:pPr>
      <w:numPr>
        <w:ilvl w:val="0"/>
        <w:numId w:val="3"/>
      </w:numPr>
    </w:pPr>
    <w:rPr>
      <w:rFonts w:ascii="宋体" w:hAnsi="宋体" w:eastAsia="宋体" w:cs="Times New Roman"/>
      <w:szCs w:val="21"/>
    </w:rPr>
  </w:style>
  <w:style w:type="paragraph" w:styleId="1050" w:customStyle="1">
    <w:name w:val="font6"/>
    <w:basedOn w:val="76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1" w:customStyle="1">
    <w:name w:val="xl25"/>
    <w:basedOn w:val="7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图标"/>
    <w:basedOn w:val="765"/>
    <w:next w:val="76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3" w:customStyle="1">
    <w:name w:val="标题3"/>
    <w:basedOn w:val="765"/>
    <w:next w:val="765"/>
    <w:uiPriority w:val="0"/>
    <w:qFormat/>
    <w:pPr>
      <w:ind w:firstLine="624"/>
      <w:spacing w:line="590" w:lineRule="atLeast"/>
    </w:pPr>
    <w:rPr>
      <w:rFonts w:ascii="方正黑体_GBK" w:hAnsi="Times New Roman" w:eastAsia="方正黑体_GBK" w:cs="Times New Roman"/>
      <w:sz w:val="32"/>
      <w:szCs w:val="32"/>
    </w:rPr>
  </w:style>
  <w:style w:type="paragraph" w:styleId="1054" w:customStyle="1">
    <w:name w:val="xl24"/>
    <w:basedOn w:val="7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5" w:customStyle="1">
    <w:name w:val="xl29"/>
    <w:basedOn w:val="76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6" w:customStyle="1">
    <w:name w:val="Char Char Char Char Char Char Char Char"/>
    <w:basedOn w:val="765"/>
    <w:uiPriority w:val="0"/>
    <w:qFormat/>
    <w:pPr>
      <w:jc w:val="left"/>
      <w:spacing w:after="160" w:line="240" w:lineRule="exact"/>
      <w:widowControl/>
    </w:pPr>
    <w:rPr>
      <w:rFonts w:ascii="Verdana" w:hAnsi="Verdana" w:eastAsia="宋体" w:cs="Times New Roman"/>
      <w:sz w:val="20"/>
      <w:szCs w:val="20"/>
      <w:lang w:eastAsia="en-US"/>
    </w:rPr>
  </w:style>
  <w:style w:type="paragraph" w:styleId="105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8" w:customStyle="1">
    <w:name w:val=" Char Char Char Char Char Char Char Char"/>
    <w:basedOn w:val="765"/>
    <w:uiPriority w:val="0"/>
    <w:qFormat/>
    <w:pPr>
      <w:jc w:val="left"/>
      <w:spacing w:after="160" w:line="240" w:lineRule="exact"/>
      <w:widowControl/>
    </w:pPr>
    <w:rPr>
      <w:rFonts w:ascii="Verdana" w:hAnsi="Verdana" w:eastAsia="宋体" w:cs="Times New Roman"/>
      <w:sz w:val="20"/>
      <w:szCs w:val="20"/>
      <w:lang w:eastAsia="en-US"/>
    </w:rPr>
  </w:style>
  <w:style w:type="paragraph" w:styleId="1059" w:customStyle="1">
    <w:name w:val="xl30"/>
    <w:basedOn w:val="76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0" w:customStyle="1">
    <w:name w:val="Char Char Char Char"/>
    <w:basedOn w:val="974"/>
    <w:uiPriority w:val="0"/>
    <w:qFormat/>
    <w:pPr>
      <w:spacing w:line="360" w:lineRule="auto"/>
    </w:pPr>
    <w:rPr>
      <w:rFonts w:ascii="Tahoma" w:hAnsi="Tahoma"/>
      <w:sz w:val="24"/>
      <w:szCs w:val="24"/>
    </w:rPr>
  </w:style>
  <w:style w:type="paragraph" w:styleId="1061" w:customStyle="1">
    <w:name w:val="table_1stline"/>
    <w:basedOn w:val="76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2" w:customStyle="1">
    <w:name w:val="font5"/>
    <w:basedOn w:val="76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3" w:customStyle="1">
    <w:name w:val="标题1"/>
    <w:basedOn w:val="765"/>
    <w:next w:val="76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4"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06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6" w:customStyle="1">
    <w:name w:val="Table Normal"/>
    <w:uiPriority w:val="0"/>
    <w:qFormat/>
    <w:tblPr/>
  </w:style>
  <w:style w:type="paragraph" w:styleId="1067" w:customStyle="1">
    <w:name w:val="正文文本 211"/>
    <w:basedOn w:val="765"/>
    <w:uiPriority w:val="99"/>
    <w:qFormat/>
    <w:pPr>
      <w:jc w:val="center"/>
    </w:pPr>
    <w:rPr>
      <w:b/>
      <w:bCs/>
      <w:sz w:val="20"/>
      <w:szCs w:val="20"/>
    </w:rPr>
  </w:style>
  <w:style w:type="paragraph" w:styleId="1068" w:customStyle="1">
    <w:name w:val="正文文本1"/>
    <w:basedOn w:val="765"/>
    <w:next w:val="765"/>
    <w:uiPriority w:val="0"/>
    <w:semiHidden/>
    <w:qFormat/>
    <w:rPr>
      <w:rFonts w:ascii="Arial" w:hAnsi="Arial" w:eastAsia="Arial" w:cs="Arial"/>
      <w:sz w:val="21"/>
      <w:szCs w:val="21"/>
      <w:lang w:val="en-US" w:eastAsia="en-US" w:bidi="ar-SA"/>
    </w:rPr>
  </w:style>
  <w:style w:type="paragraph" w:styleId="1069" w:customStyle="1">
    <w:name w:val="正文文本12"/>
    <w:basedOn w:val="765"/>
    <w:uiPriority w:val="1"/>
    <w:qFormat/>
    <w:pPr>
      <w:ind w:left="120"/>
    </w:pPr>
    <w:rPr>
      <w:rFonts w:ascii="宋体" w:hAnsi="宋体" w:eastAsia="宋体" w:cs="宋体"/>
      <w:sz w:val="21"/>
      <w:szCs w:val="21"/>
      <w:lang w:val="zh-CN" w:eastAsia="zh-CN" w:bidi="zh-CN"/>
    </w:rPr>
  </w:style>
  <w:style w:type="paragraph" w:styleId="1070" w:customStyle="1">
    <w:name w:val="纯文本1"/>
    <w:basedOn w:val="765"/>
    <w:uiPriority w:val="0"/>
    <w:qFormat/>
    <w:rPr>
      <w:rFonts w:ascii="宋体" w:hAnsi="Courier New" w:cs="Courier New"/>
    </w:rPr>
  </w:style>
  <w:style w:type="table" w:styleId="1071" w:customStyle="1">
    <w:name w:val="网格型1"/>
    <w:basedOn w:val="1072"/>
    <w:uiPriority w:val="0"/>
    <w:qFormat/>
    <w:pPr>
      <w:jc w:val="both"/>
      <w:widowControl w:val="off"/>
    </w:pPr>
    <w:tblPr/>
  </w:style>
  <w:style w:type="table" w:styleId="1072" w:customStyle="1">
    <w:name w:val="普通表格1"/>
    <w:uiPriority w:val="99"/>
    <w:unhideWhenUsed/>
    <w:qFormat/>
    <w:tblPr/>
  </w:style>
  <w:style w:type="character" w:styleId="1073" w:customStyle="1">
    <w:name w:val="15"/>
    <w:basedOn w:val="775"/>
    <w:uiPriority w:val="0"/>
    <w:qFormat/>
    <w:rPr>
      <w:rFonts w:hint="default" w:ascii="Times New Roman" w:hAnsi="Times New Roman" w:cs="Times New Roman"/>
    </w:rPr>
  </w:style>
  <w:style w:type="paragraph" w:styleId="1074" w:customStyle="1">
    <w:name w:val="Table Text"/>
    <w:basedOn w:val="765"/>
    <w:uiPriority w:val="0"/>
    <w:semiHidden/>
    <w:qFormat/>
    <w:rPr>
      <w:rFonts w:ascii="宋体" w:hAnsi="宋体" w:eastAsia="宋体" w:cs="宋体"/>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杨荣</cp:lastModifiedBy>
  <cp:revision>3</cp:revision>
  <dcterms:created xsi:type="dcterms:W3CDTF">2023-03-27T07:28:00Z</dcterms:created>
  <dcterms:modified xsi:type="dcterms:W3CDTF">2025-12-03T08:43:45Z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eyJoZGlkIjoiNjc4MWRmODFlMTg3NTQ1MWIwMTEzZjhmNGMyYjNhMGYiLCJ1c2VySWQiOiIzNTQ0ODQyOTAifQ==</vt:lpwstr>
  </property>
  <property fmtid="{D5CDD505-2E9C-101B-9397-08002B2CF9AE}" pid="3" name="KSOProductBuildVer">
    <vt:lpwstr>2052-12.1.0.23542</vt:lpwstr>
  </property>
  <property fmtid="{D5CDD505-2E9C-101B-9397-08002B2CF9AE}" pid="4" name="ICV">
    <vt:lpwstr>0EC01C2D667841A2BF19F9C6E18B1510_12</vt:lpwstr>
  </property>
</Properties>
</file>